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sz w:val="32"/>
          <w:szCs w:val="32"/>
        </w:rPr>
      </w:pPr>
      <w:r>
        <w:rPr>
          <w:rFonts w:hint="eastAsia" w:ascii="宋体" w:hAnsi="宋体"/>
          <w:color w:val="000000"/>
          <w:sz w:val="28"/>
          <w:szCs w:val="28"/>
        </w:rPr>
        <w:t>【A】</w:t>
      </w:r>
    </w:p>
    <w:tbl>
      <w:tblPr>
        <w:tblStyle w:val="11"/>
        <w:tblpPr w:leftFromText="180" w:rightFromText="180" w:vertAnchor="page" w:horzAnchor="page" w:tblpX="1297" w:tblpY="2718"/>
        <w:tblW w:w="0" w:type="auto"/>
        <w:tblInd w:w="0" w:type="dxa"/>
        <w:tblLayout w:type="fixed"/>
        <w:tblCellMar>
          <w:top w:w="0" w:type="dxa"/>
          <w:left w:w="108" w:type="dxa"/>
          <w:bottom w:w="0" w:type="dxa"/>
          <w:right w:w="108" w:type="dxa"/>
        </w:tblCellMar>
      </w:tblPr>
      <w:tblGrid>
        <w:gridCol w:w="9024"/>
      </w:tblGrid>
      <w:tr>
        <w:tblPrEx>
          <w:tblCellMar>
            <w:top w:w="0" w:type="dxa"/>
            <w:left w:w="108" w:type="dxa"/>
            <w:bottom w:w="0" w:type="dxa"/>
            <w:right w:w="108" w:type="dxa"/>
          </w:tblCellMar>
        </w:tblPrEx>
        <w:trPr>
          <w:trHeight w:val="1711" w:hRule="atLeast"/>
        </w:trPr>
        <w:tc>
          <w:tcPr>
            <w:tcW w:w="9024" w:type="dxa"/>
            <w:tcBorders>
              <w:top w:val="nil"/>
              <w:left w:val="nil"/>
              <w:bottom w:val="nil"/>
              <w:right w:val="nil"/>
            </w:tcBorders>
            <w:noWrap w:val="0"/>
            <w:tcMar>
              <w:left w:w="0" w:type="dxa"/>
              <w:right w:w="0" w:type="dxa"/>
            </w:tcMar>
            <w:vAlign w:val="center"/>
          </w:tcPr>
          <w:p>
            <w:pPr>
              <w:jc w:val="center"/>
              <w:rPr>
                <w:rFonts w:hint="eastAsia" w:ascii="华文中宋" w:hAnsi="华文中宋" w:eastAsia="华文中宋"/>
                <w:color w:val="FF0000"/>
                <w:spacing w:val="-20"/>
                <w:w w:val="70"/>
                <w:sz w:val="108"/>
                <w:szCs w:val="108"/>
                <w:highlight w:val="none"/>
              </w:rPr>
            </w:pPr>
            <w:r>
              <w:rPr>
                <w:rFonts w:hint="eastAsia" w:ascii="华文中宋" w:hAnsi="华文中宋" w:eastAsia="华文中宋"/>
                <w:color w:val="FF0000"/>
                <w:spacing w:val="-20"/>
                <w:w w:val="70"/>
                <w:kern w:val="0"/>
                <w:sz w:val="108"/>
                <w:szCs w:val="108"/>
                <w:highlight w:val="none"/>
              </w:rPr>
              <w:t>嘉兴市卫生健康委员会文件</w:t>
            </w:r>
          </w:p>
        </w:tc>
      </w:tr>
      <w:tr>
        <w:tblPrEx>
          <w:tblCellMar>
            <w:top w:w="0" w:type="dxa"/>
            <w:left w:w="108" w:type="dxa"/>
            <w:bottom w:w="0" w:type="dxa"/>
            <w:right w:w="108" w:type="dxa"/>
          </w:tblCellMar>
        </w:tblPrEx>
        <w:trPr>
          <w:trHeight w:val="472" w:hRule="atLeast"/>
        </w:trPr>
        <w:tc>
          <w:tcPr>
            <w:tcW w:w="9024" w:type="dxa"/>
            <w:tcBorders>
              <w:top w:val="nil"/>
              <w:left w:val="nil"/>
              <w:bottom w:val="nil"/>
              <w:right w:val="nil"/>
            </w:tcBorders>
            <w:noWrap w:val="0"/>
            <w:vAlign w:val="top"/>
          </w:tcPr>
          <w:p>
            <w:pPr>
              <w:rPr>
                <w:rFonts w:hint="eastAsia" w:ascii="华文中宋" w:hAnsi="华文中宋" w:eastAsia="华文中宋"/>
                <w:color w:val="auto"/>
                <w:sz w:val="10"/>
                <w:szCs w:val="10"/>
                <w:highlight w:val="none"/>
              </w:rPr>
            </w:pPr>
          </w:p>
          <w:p>
            <w:pPr>
              <w:rPr>
                <w:rFonts w:hint="eastAsia" w:ascii="华文中宋" w:hAnsi="华文中宋" w:eastAsia="华文中宋"/>
                <w:color w:val="auto"/>
                <w:sz w:val="10"/>
                <w:szCs w:val="10"/>
                <w:highlight w:val="none"/>
              </w:rPr>
            </w:pPr>
          </w:p>
        </w:tc>
      </w:tr>
      <w:tr>
        <w:tblPrEx>
          <w:tblCellMar>
            <w:top w:w="0" w:type="dxa"/>
            <w:left w:w="108" w:type="dxa"/>
            <w:bottom w:w="0" w:type="dxa"/>
            <w:right w:w="108" w:type="dxa"/>
          </w:tblCellMar>
        </w:tblPrEx>
        <w:trPr>
          <w:trHeight w:val="164" w:hRule="atLeast"/>
        </w:trPr>
        <w:tc>
          <w:tcPr>
            <w:tcW w:w="9024" w:type="dxa"/>
            <w:tcBorders>
              <w:top w:val="nil"/>
              <w:left w:val="nil"/>
              <w:bottom w:val="nil"/>
              <w:right w:val="nil"/>
            </w:tcBorders>
            <w:noWrap w:val="0"/>
            <w:vAlign w:val="top"/>
          </w:tcPr>
          <w:p>
            <w:pPr>
              <w:jc w:val="center"/>
              <w:rPr>
                <w:rFonts w:ascii="华文中宋" w:hAnsi="华文中宋" w:eastAsia="华文中宋"/>
                <w:color w:val="auto"/>
                <w:sz w:val="13"/>
                <w:szCs w:val="13"/>
                <w:highlight w:val="none"/>
              </w:rPr>
            </w:pPr>
          </w:p>
          <w:p>
            <w:pPr>
              <w:rPr>
                <w:rFonts w:hint="eastAsia" w:ascii="华文中宋" w:hAnsi="华文中宋" w:eastAsia="华文中宋"/>
                <w:color w:val="auto"/>
                <w:sz w:val="10"/>
                <w:szCs w:val="10"/>
                <w:highlight w:val="none"/>
              </w:rPr>
            </w:pPr>
          </w:p>
        </w:tc>
      </w:tr>
      <w:tr>
        <w:tblPrEx>
          <w:tblCellMar>
            <w:top w:w="0" w:type="dxa"/>
            <w:left w:w="108" w:type="dxa"/>
            <w:bottom w:w="0" w:type="dxa"/>
            <w:right w:w="108" w:type="dxa"/>
          </w:tblCellMar>
        </w:tblPrEx>
        <w:trPr>
          <w:trHeight w:val="476" w:hRule="atLeast"/>
        </w:trPr>
        <w:tc>
          <w:tcPr>
            <w:tcW w:w="9024" w:type="dxa"/>
            <w:tcBorders>
              <w:top w:val="nil"/>
              <w:left w:val="nil"/>
              <w:bottom w:val="nil"/>
              <w:right w:val="nil"/>
            </w:tcBorders>
            <w:noWrap w:val="0"/>
            <w:vAlign w:val="top"/>
          </w:tcPr>
          <w:p>
            <w:pPr>
              <w:jc w:val="center"/>
              <w:rPr>
                <w:rFonts w:hint="eastAsia" w:ascii="仿宋_GB2312" w:hAnsi="华文中宋" w:eastAsia="仿宋_GB2312"/>
                <w:color w:val="auto"/>
                <w:sz w:val="32"/>
                <w:szCs w:val="32"/>
                <w:highlight w:val="none"/>
              </w:rPr>
            </w:pPr>
            <w:r>
              <w:rPr>
                <w:rFonts w:hint="eastAsia" w:ascii="仿宋_GB2312" w:eastAsia="仿宋_GB2312"/>
                <w:color w:val="auto"/>
                <w:sz w:val="32"/>
                <w:szCs w:val="32"/>
                <w:highlight w:val="none"/>
              </w:rPr>
              <w:t>嘉卫函〔20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42</w:t>
            </w:r>
            <w:r>
              <w:rPr>
                <w:rFonts w:hint="eastAsia" w:ascii="仿宋_GB2312" w:eastAsia="仿宋_GB2312"/>
                <w:color w:val="auto"/>
                <w:sz w:val="32"/>
                <w:szCs w:val="32"/>
                <w:highlight w:val="none"/>
              </w:rPr>
              <w:t xml:space="preserve">号                                 </w:t>
            </w:r>
          </w:p>
        </w:tc>
      </w:tr>
      <w:tr>
        <w:tblPrEx>
          <w:tblCellMar>
            <w:top w:w="0" w:type="dxa"/>
            <w:left w:w="108" w:type="dxa"/>
            <w:bottom w:w="0" w:type="dxa"/>
            <w:right w:w="108" w:type="dxa"/>
          </w:tblCellMar>
        </w:tblPrEx>
        <w:trPr>
          <w:trHeight w:val="468" w:hRule="atLeast"/>
        </w:trPr>
        <w:tc>
          <w:tcPr>
            <w:tcW w:w="9024" w:type="dxa"/>
            <w:tcBorders>
              <w:top w:val="nil"/>
              <w:left w:val="nil"/>
              <w:bottom w:val="nil"/>
              <w:right w:val="nil"/>
            </w:tcBorders>
            <w:noWrap w:val="0"/>
            <w:vAlign w:val="top"/>
          </w:tcPr>
          <w:p>
            <w:pPr>
              <w:spacing w:line="440" w:lineRule="exact"/>
              <w:jc w:val="center"/>
              <w:rPr>
                <w:rFonts w:hint="eastAsia"/>
                <w:color w:val="auto"/>
                <w:sz w:val="44"/>
                <w:szCs w:val="44"/>
                <w:highlight w:val="none"/>
              </w:rPr>
            </w:pPr>
            <w:r>
              <w:rPr>
                <w:rFonts w:hint="eastAsia"/>
                <w:color w:val="auto"/>
                <w:sz w:val="44"/>
                <w:szCs w:val="44"/>
                <w:highlight w:val="none"/>
              </w:rPr>
              <mc:AlternateContent>
                <mc:Choice Requires="wps">
                  <w:drawing>
                    <wp:anchor distT="0" distB="0" distL="114300" distR="114300" simplePos="0" relativeHeight="251662336" behindDoc="0" locked="0" layoutInCell="1" allowOverlap="1">
                      <wp:simplePos x="0" y="0"/>
                      <wp:positionH relativeFrom="column">
                        <wp:posOffset>-69215</wp:posOffset>
                      </wp:positionH>
                      <wp:positionV relativeFrom="paragraph">
                        <wp:posOffset>40005</wp:posOffset>
                      </wp:positionV>
                      <wp:extent cx="5753100" cy="0"/>
                      <wp:effectExtent l="0" t="22225" r="0" b="34925"/>
                      <wp:wrapNone/>
                      <wp:docPr id="1" name="直接连接符 1"/>
                      <wp:cNvGraphicFramePr/>
                      <a:graphic xmlns:a="http://schemas.openxmlformats.org/drawingml/2006/main">
                        <a:graphicData uri="http://schemas.microsoft.com/office/word/2010/wordprocessingShape">
                          <wps:wsp>
                            <wps:cNvCnPr/>
                            <wps:spPr>
                              <a:xfrm>
                                <a:off x="0" y="0"/>
                                <a:ext cx="5753100" cy="0"/>
                              </a:xfrm>
                              <a:prstGeom prst="line">
                                <a:avLst/>
                              </a:prstGeom>
                              <a:ln w="444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5pt;margin-top:3.15pt;height:0pt;width:453pt;z-index:251662336;mso-width-relative:page;mso-height-relative:page;" filled="f" stroked="t" coordsize="21600,21600" o:gfxdata="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ISXUdQAAAAHAQAADwAAAAAAAAABACAAAAAiAAAAZHJzL2Rvd25yZXYueG1sUEsBAhQA&#10;FAAAAAgAh07iQODrPnD2AQAA5QMAAA4AAAAAAAAAAQAgAAAAIwEAAGRycy9lMm9Eb2MueG1sUEsF&#10;BgAAAAAGAAYAWQEAAIsFAAAAAA==&#10;">
                      <v:fill on="f" focussize="0,0"/>
                      <v:stroke weight="3.5pt" color="#FF0000" joinstyle="round"/>
                      <v:imagedata o:title=""/>
                      <o:lock v:ext="edit" aspectratio="f"/>
                    </v:line>
                  </w:pict>
                </mc:Fallback>
              </mc:AlternateContent>
            </w:r>
          </w:p>
        </w:tc>
      </w:tr>
    </w:tbl>
    <w:p>
      <w:pPr>
        <w:jc w:val="right"/>
        <w:rPr>
          <w:rFonts w:hint="eastAsia"/>
          <w:lang w:val="en-US" w:eastAsia="zh-CN"/>
        </w:rPr>
      </w:pPr>
    </w:p>
    <w:p>
      <w:pPr>
        <w:pStyle w:val="2"/>
        <w:keepNext w:val="0"/>
        <w:keepLines w:val="0"/>
        <w:pageBreakBefore w:val="0"/>
        <w:kinsoku/>
        <w:wordWrap/>
        <w:overflowPunct/>
        <w:topLinePunct w:val="0"/>
        <w:bidi w:val="0"/>
        <w:snapToGrid/>
        <w:spacing w:line="560" w:lineRule="exact"/>
        <w:ind w:firstLine="0" w:firstLineChars="0"/>
        <w:jc w:val="center"/>
        <w:textAlignment w:val="auto"/>
        <w:rPr>
          <w:rFonts w:hint="eastAsia" w:ascii="楷体_GB2312" w:hAnsi="楷体_GB2312" w:eastAsia="楷体_GB2312" w:cs="楷体_GB2312"/>
          <w:sz w:val="32"/>
          <w:szCs w:val="32"/>
          <w:highlight w:val="none"/>
          <w:lang w:eastAsia="zh-CN"/>
        </w:rPr>
      </w:pPr>
      <w:bookmarkStart w:id="0" w:name="文号"/>
      <w:bookmarkEnd w:id="0"/>
      <w:bookmarkStart w:id="1" w:name="文号头"/>
      <w:bookmarkEnd w:id="1"/>
      <w:r>
        <w:rPr>
          <w:rFonts w:hint="eastAsia" w:ascii="方正小标宋简体" w:hAnsi="方正小标宋简体" w:eastAsia="方正小标宋简体" w:cs="方正小标宋简体"/>
          <w:b w:val="0"/>
          <w:bCs w:val="0"/>
          <w:sz w:val="44"/>
          <w:szCs w:val="44"/>
          <w:highlight w:val="none"/>
          <w:lang w:eastAsia="zh-CN"/>
        </w:rPr>
        <w:t>对市政协八届五次会议第</w:t>
      </w:r>
      <w:r>
        <w:rPr>
          <w:rFonts w:hint="eastAsia" w:ascii="方正小标宋简体" w:hAnsi="方正小标宋简体" w:eastAsia="方正小标宋简体" w:cs="方正小标宋简体"/>
          <w:b w:val="0"/>
          <w:bCs w:val="0"/>
          <w:sz w:val="44"/>
          <w:szCs w:val="44"/>
          <w:highlight w:val="none"/>
          <w:lang w:val="en-US" w:eastAsia="zh-CN"/>
        </w:rPr>
        <w:t>52</w:t>
      </w:r>
      <w:r>
        <w:rPr>
          <w:rFonts w:hint="eastAsia" w:ascii="方正小标宋简体" w:hAnsi="方正小标宋简体" w:eastAsia="方正小标宋简体" w:cs="方正小标宋简体"/>
          <w:b w:val="0"/>
          <w:bCs w:val="0"/>
          <w:sz w:val="44"/>
          <w:szCs w:val="44"/>
          <w:highlight w:val="none"/>
          <w:lang w:eastAsia="zh-CN"/>
        </w:rPr>
        <w:t>号提案的答复</w:t>
      </w:r>
    </w:p>
    <w:p>
      <w:pPr>
        <w:keepNext w:val="0"/>
        <w:keepLines w:val="0"/>
        <w:pageBreakBefore w:val="0"/>
        <w:numPr>
          <w:ilvl w:val="-1"/>
          <w:numId w:val="0"/>
        </w:numPr>
        <w:kinsoku/>
        <w:wordWrap/>
        <w:overflowPunct/>
        <w:topLinePunct w:val="0"/>
        <w:autoSpaceDE/>
        <w:autoSpaceDN/>
        <w:bidi w:val="0"/>
        <w:adjustRightInd/>
        <w:snapToGrid/>
        <w:spacing w:beforeAutospacing="0" w:afterAutospacing="0" w:line="560" w:lineRule="exact"/>
        <w:ind w:firstLine="0" w:firstLineChars="0"/>
        <w:jc w:val="both"/>
        <w:textAlignment w:val="auto"/>
        <w:rPr>
          <w:rFonts w:hint="eastAsia" w:ascii="仿宋_GB2312" w:hAnsi="仿宋_GB2312" w:eastAsia="仿宋_GB2312" w:cs="仿宋_GB2312"/>
          <w:snapToGrid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lang w:eastAsia="zh-CN"/>
        </w:rPr>
        <w:t>农工党嘉兴市委会</w:t>
      </w:r>
      <w:r>
        <w:rPr>
          <w:rFonts w:hint="eastAsia" w:ascii="仿宋_GB2312" w:hAnsi="仿宋_GB2312" w:eastAsia="仿宋_GB2312" w:cs="仿宋_GB2312"/>
          <w:color w:val="auto"/>
          <w:sz w:val="32"/>
          <w:szCs w:val="32"/>
          <w:highlight w:val="none"/>
        </w:rPr>
        <w:t>：</w:t>
      </w:r>
    </w:p>
    <w:p>
      <w:pPr>
        <w:keepNext w:val="0"/>
        <w:keepLines w:val="0"/>
        <w:pageBreakBefore w:val="0"/>
        <w:widowControl/>
        <w:numPr>
          <w:ilvl w:val="-1"/>
          <w:numId w:val="0"/>
        </w:numPr>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snapToGrid w:val="0"/>
          <w:color w:val="auto"/>
          <w:sz w:val="32"/>
          <w:szCs w:val="32"/>
          <w:highlight w:val="none"/>
          <w:lang w:val="en-US" w:eastAsia="zh-CN"/>
        </w:rPr>
      </w:pPr>
      <w:r>
        <w:rPr>
          <w:rFonts w:hint="eastAsia" w:ascii="仿宋_GB2312" w:hAnsi="仿宋_GB2312" w:eastAsia="仿宋_GB2312" w:cs="仿宋_GB2312"/>
          <w:snapToGrid w:val="0"/>
          <w:color w:val="auto"/>
          <w:sz w:val="32"/>
          <w:szCs w:val="32"/>
          <w:highlight w:val="none"/>
          <w:lang w:val="en-US" w:eastAsia="zh-CN"/>
        </w:rPr>
        <w:t>县域医共体建设事关人民群众健康福祉，是构建整合型医疗卫生服务体系的创</w:t>
      </w:r>
      <w:bookmarkStart w:id="2" w:name="_GoBack"/>
      <w:bookmarkEnd w:id="2"/>
      <w:r>
        <w:rPr>
          <w:rFonts w:hint="eastAsia" w:ascii="仿宋_GB2312" w:hAnsi="仿宋_GB2312" w:eastAsia="仿宋_GB2312" w:cs="仿宋_GB2312"/>
          <w:snapToGrid w:val="0"/>
          <w:color w:val="auto"/>
          <w:sz w:val="32"/>
          <w:szCs w:val="32"/>
          <w:highlight w:val="none"/>
          <w:lang w:val="en-US" w:eastAsia="zh-CN"/>
        </w:rPr>
        <w:t>新实践，是高水平建设健康嘉兴的重要举措，也是推动</w:t>
      </w:r>
      <w:r>
        <w:rPr>
          <w:rFonts w:hint="eastAsia" w:ascii="仿宋_GB2312" w:hAnsi="仿宋_GB2312" w:eastAsia="仿宋_GB2312" w:cs="仿宋_GB2312"/>
          <w:i w:val="0"/>
          <w:caps w:val="0"/>
          <w:color w:val="auto"/>
          <w:spacing w:val="15"/>
          <w:kern w:val="0"/>
          <w:sz w:val="32"/>
          <w:szCs w:val="32"/>
          <w:highlight w:val="none"/>
          <w:lang w:val="en-US" w:eastAsia="zh-CN" w:bidi="ar"/>
        </w:rPr>
        <w:t>人人享有优质、均衡、普惠的全生命周期医疗健康服务，实现卫生健康共同富裕的基本内容。</w:t>
      </w:r>
      <w:r>
        <w:rPr>
          <w:rFonts w:hint="eastAsia" w:ascii="仿宋_GB2312" w:hAnsi="仿宋_GB2312" w:eastAsia="仿宋_GB2312" w:cs="仿宋_GB2312"/>
          <w:snapToGrid w:val="0"/>
          <w:color w:val="auto"/>
          <w:sz w:val="32"/>
          <w:szCs w:val="32"/>
          <w:highlight w:val="none"/>
          <w:lang w:eastAsia="zh-CN"/>
        </w:rPr>
        <w:t>在收到</w:t>
      </w:r>
      <w:r>
        <w:rPr>
          <w:rFonts w:hint="eastAsia" w:ascii="仿宋_GB2312" w:hAnsi="仿宋_GB2312" w:eastAsia="仿宋_GB2312" w:cs="仿宋_GB2312"/>
          <w:snapToGrid w:val="0"/>
          <w:color w:val="auto"/>
          <w:sz w:val="32"/>
          <w:szCs w:val="32"/>
          <w:highlight w:val="none"/>
          <w:lang w:val="en-US" w:eastAsia="zh-CN"/>
        </w:rPr>
        <w:t>贵单位提出的《</w:t>
      </w:r>
      <w:r>
        <w:rPr>
          <w:rFonts w:hint="eastAsia" w:ascii="仿宋_GB2312" w:hAnsi="仿宋_GB2312" w:eastAsia="仿宋_GB2312" w:cs="仿宋_GB2312"/>
          <w:bCs/>
          <w:color w:val="auto"/>
          <w:sz w:val="32"/>
          <w:szCs w:val="32"/>
          <w:highlight w:val="none"/>
        </w:rPr>
        <w:t>提升县域医共体建设水平，完善整合型医疗服务体系的建议</w:t>
      </w:r>
      <w:r>
        <w:rPr>
          <w:rFonts w:hint="eastAsia" w:ascii="仿宋_GB2312" w:hAnsi="仿宋_GB2312" w:eastAsia="仿宋_GB2312" w:cs="仿宋_GB2312"/>
          <w:snapToGrid w:val="0"/>
          <w:color w:val="auto"/>
          <w:sz w:val="32"/>
          <w:szCs w:val="32"/>
          <w:highlight w:val="none"/>
          <w:lang w:val="en-US" w:eastAsia="zh-CN"/>
        </w:rPr>
        <w:t>》后，</w:t>
      </w:r>
      <w:r>
        <w:rPr>
          <w:rFonts w:hint="eastAsia" w:ascii="仿宋_GB2312" w:hAnsi="仿宋_GB2312" w:eastAsia="仿宋_GB2312" w:cs="仿宋_GB2312"/>
          <w:snapToGrid w:val="0"/>
          <w:color w:val="auto"/>
          <w:sz w:val="32"/>
          <w:szCs w:val="32"/>
          <w:highlight w:val="none"/>
          <w:lang w:eastAsia="zh-CN"/>
        </w:rPr>
        <w:t>市卫生健康委作为主办单位，</w:t>
      </w:r>
      <w:r>
        <w:rPr>
          <w:rFonts w:hint="eastAsia" w:ascii="仿宋_GB2312" w:hAnsi="仿宋_GB2312" w:eastAsia="仿宋_GB2312" w:cs="仿宋_GB2312"/>
          <w:snapToGrid w:val="0"/>
          <w:color w:val="auto"/>
          <w:sz w:val="32"/>
          <w:szCs w:val="32"/>
          <w:highlight w:val="none"/>
          <w:lang w:val="en-US" w:eastAsia="zh-CN"/>
        </w:rPr>
        <w:t>高度重视，迅速成立办理领导小组，与年度民生实事、重点工作紧密结合、一体推进，与市财政局等会办单位加强沟通、协调联动，着力提高建议办理质量和实效</w:t>
      </w:r>
      <w:r>
        <w:rPr>
          <w:rFonts w:hint="eastAsia" w:ascii="仿宋_GB2312" w:hAnsi="黑体" w:eastAsia="仿宋_GB2312" w:cs="黑体"/>
          <w:b w:val="0"/>
          <w:bCs/>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现答复如下：</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仿宋_GB2312"/>
          <w:color w:val="auto"/>
          <w:sz w:val="32"/>
          <w:szCs w:val="32"/>
          <w:highlight w:val="none"/>
          <w:lang w:val="en-US" w:eastAsia="zh-CN"/>
        </w:rPr>
      </w:pPr>
      <w:r>
        <w:rPr>
          <w:rFonts w:hint="eastAsia" w:ascii="黑体" w:hAnsi="黑体" w:eastAsia="黑体" w:cs="仿宋_GB2312"/>
          <w:color w:val="auto"/>
          <w:sz w:val="32"/>
          <w:szCs w:val="32"/>
          <w:highlight w:val="none"/>
          <w:lang w:val="en-US" w:eastAsia="zh-CN"/>
        </w:rPr>
        <w:t>一、重点工作落实情况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napToGrid w:val="0"/>
          <w:color w:val="auto"/>
          <w:sz w:val="32"/>
          <w:szCs w:val="32"/>
          <w:highlight w:val="none"/>
          <w:lang w:val="en-US" w:eastAsia="zh-CN"/>
        </w:rPr>
      </w:pPr>
      <w:r>
        <w:rPr>
          <w:rFonts w:hint="eastAsia" w:ascii="仿宋_GB2312" w:hAnsi="仿宋_GB2312" w:eastAsia="仿宋_GB2312" w:cs="仿宋_GB2312"/>
          <w:snapToGrid w:val="0"/>
          <w:color w:val="auto"/>
          <w:sz w:val="32"/>
          <w:szCs w:val="32"/>
          <w:highlight w:val="none"/>
          <w:lang w:val="en-US" w:eastAsia="zh-CN"/>
        </w:rPr>
        <w:t>2018年，桐乡市作为省级试点率先开展医共体建设；2019年，我市5个县（市）全面开展医共体建设。目前，全市共建立县域医共体13个，覆盖17家县级</w:t>
      </w:r>
      <w:r>
        <w:rPr>
          <w:rFonts w:hint="eastAsia" w:ascii="仿宋_GB2312" w:hAnsi="仿宋_GB2312" w:eastAsia="仿宋_GB2312" w:cs="仿宋_GB2312"/>
          <w:b w:val="0"/>
          <w:bCs w:val="0"/>
          <w:snapToGrid w:val="0"/>
          <w:color w:val="auto"/>
          <w:sz w:val="32"/>
          <w:szCs w:val="32"/>
          <w:highlight w:val="none"/>
          <w:lang w:val="en-US" w:eastAsia="zh-CN"/>
        </w:rPr>
        <w:t>医院</w:t>
      </w:r>
      <w:r>
        <w:rPr>
          <w:rFonts w:hint="eastAsia" w:ascii="仿宋_GB2312" w:hAnsi="仿宋_GB2312" w:eastAsia="仿宋_GB2312" w:cs="仿宋_GB2312"/>
          <w:snapToGrid w:val="0"/>
          <w:color w:val="auto"/>
          <w:sz w:val="32"/>
          <w:szCs w:val="32"/>
          <w:highlight w:val="none"/>
          <w:lang w:val="en-US" w:eastAsia="zh-CN"/>
        </w:rPr>
        <w:t>和52家基层医疗卫生机构，创新打造“一县一品”格局，</w:t>
      </w:r>
      <w:r>
        <w:rPr>
          <w:rFonts w:hint="eastAsia" w:ascii="仿宋_GB2312" w:hAnsi="仿宋_GB2312" w:eastAsia="仿宋_GB2312" w:cs="仿宋_GB2312"/>
          <w:snapToGrid w:val="0"/>
          <w:color w:val="auto"/>
          <w:sz w:val="32"/>
          <w:szCs w:val="32"/>
          <w:highlight w:val="none"/>
          <w:lang w:eastAsia="zh-CN"/>
        </w:rPr>
        <w:t>“</w:t>
      </w:r>
      <w:r>
        <w:rPr>
          <w:rFonts w:hint="eastAsia" w:ascii="仿宋_GB2312" w:hAnsi="仿宋_GB2312" w:eastAsia="仿宋_GB2312" w:cs="仿宋_GB2312"/>
          <w:snapToGrid w:val="0"/>
          <w:color w:val="auto"/>
          <w:sz w:val="32"/>
          <w:szCs w:val="32"/>
          <w:highlight w:val="none"/>
        </w:rPr>
        <w:t>双下沉、两提升</w:t>
      </w:r>
      <w:r>
        <w:rPr>
          <w:rFonts w:hint="eastAsia" w:ascii="仿宋_GB2312" w:hAnsi="仿宋_GB2312" w:eastAsia="仿宋_GB2312" w:cs="仿宋_GB2312"/>
          <w:snapToGrid w:val="0"/>
          <w:color w:val="auto"/>
          <w:sz w:val="32"/>
          <w:szCs w:val="32"/>
          <w:highlight w:val="none"/>
          <w:lang w:eastAsia="zh-CN"/>
        </w:rPr>
        <w:t>”</w:t>
      </w:r>
      <w:r>
        <w:rPr>
          <w:rFonts w:hint="eastAsia" w:ascii="仿宋_GB2312" w:hAnsi="仿宋_GB2312" w:eastAsia="仿宋_GB2312" w:cs="仿宋_GB2312"/>
          <w:snapToGrid w:val="0"/>
          <w:color w:val="auto"/>
          <w:sz w:val="32"/>
          <w:szCs w:val="32"/>
          <w:highlight w:val="none"/>
        </w:rPr>
        <w:t>工作成为省级样板，</w:t>
      </w:r>
      <w:r>
        <w:rPr>
          <w:rFonts w:hint="eastAsia" w:ascii="仿宋_GB2312" w:hAnsi="仿宋_GB2312" w:eastAsia="仿宋_GB2312" w:cs="仿宋_GB2312"/>
          <w:snapToGrid w:val="0"/>
          <w:color w:val="auto"/>
          <w:sz w:val="32"/>
          <w:szCs w:val="32"/>
          <w:highlight w:val="none"/>
          <w:lang w:val="en-US" w:eastAsia="zh-CN"/>
        </w:rPr>
        <w:t>整合型医疗卫生服务体系基本建成。强化牵头医院大型医疗设备配置，截至8月底，县级牵头医院共有64排CT4台，1.5TMR13台，直线加速器1台。牵头医院综合实力明显提升，在国家三级公立医院绩效考核中，6家三乙牵头医院排名均有快速提升，如海宁市人民医院由545名上升至363名，前进182位次。2021年上半年全省医疗机构DRG</w:t>
      </w:r>
      <w:r>
        <w:rPr>
          <w:rFonts w:hint="default" w:ascii="仿宋_GB2312" w:hAnsi="仿宋_GB2312" w:eastAsia="仿宋_GB2312" w:cs="仿宋_GB2312"/>
          <w:snapToGrid w:val="0"/>
          <w:color w:val="auto"/>
          <w:sz w:val="32"/>
          <w:szCs w:val="32"/>
          <w:highlight w:val="none"/>
          <w:lang w:val="en" w:eastAsia="zh-CN"/>
        </w:rPr>
        <w:t>s</w:t>
      </w:r>
      <w:r>
        <w:rPr>
          <w:rFonts w:hint="eastAsia" w:ascii="仿宋_GB2312" w:hAnsi="仿宋_GB2312" w:eastAsia="仿宋_GB2312" w:cs="仿宋_GB2312"/>
          <w:snapToGrid w:val="0"/>
          <w:color w:val="auto"/>
          <w:sz w:val="32"/>
          <w:szCs w:val="32"/>
          <w:highlight w:val="none"/>
          <w:lang w:val="en" w:eastAsia="zh-CN"/>
        </w:rPr>
        <w:t>评价中，海宁市人民医院、嘉善县第一人民医院、桐乡市第一人民医院分别列</w:t>
      </w:r>
      <w:r>
        <w:rPr>
          <w:rFonts w:hint="eastAsia" w:ascii="仿宋_GB2312" w:hAnsi="仿宋_GB2312" w:eastAsia="仿宋_GB2312" w:cs="仿宋_GB2312"/>
          <w:snapToGrid w:val="0"/>
          <w:color w:val="auto"/>
          <w:sz w:val="32"/>
          <w:szCs w:val="32"/>
          <w:highlight w:val="none"/>
          <w:lang w:val="en-US" w:eastAsia="zh-CN"/>
        </w:rPr>
        <w:t>全省三乙医院第10位、21位、22位。县域服务能力稳步提高，1-6月，全市县域就诊率88.07%、基层就诊率69.28%，较上年同期分别增长1.4和1.0个百分点。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黑体" w:eastAsia="仿宋_GB2312" w:cs="黑体"/>
          <w:b w:val="0"/>
          <w:bCs/>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（一）深度融合，加快构建发展新体系。</w:t>
      </w:r>
      <w:r>
        <w:rPr>
          <w:rFonts w:hint="eastAsia" w:ascii="仿宋_GB2312" w:hAnsi="黑体" w:eastAsia="仿宋_GB2312" w:cs="黑体"/>
          <w:bCs/>
          <w:color w:val="auto"/>
          <w:sz w:val="32"/>
          <w:szCs w:val="32"/>
          <w:highlight w:val="none"/>
          <w:lang w:val="en-US" w:eastAsia="zh-CN"/>
        </w:rPr>
        <w:t>各县（市）政府高度重视县域医共体建设，强化顶层设计，以县（市）委、县（市）政府名义出台人事薪酬、财政投入等配套文件，推动重点改革任务落地生效。在组织体系方面，我市医共体实现了“三个全部”：</w:t>
      </w:r>
      <w:r>
        <w:rPr>
          <w:rFonts w:hint="eastAsia" w:ascii="仿宋_GB2312" w:hAnsi="黑体" w:eastAsia="仿宋_GB2312" w:cs="黑体"/>
          <w:b/>
          <w:bCs w:val="0"/>
          <w:color w:val="auto"/>
          <w:sz w:val="32"/>
          <w:szCs w:val="32"/>
          <w:highlight w:val="none"/>
          <w:lang w:val="en-US" w:eastAsia="zh-CN"/>
        </w:rPr>
        <w:t>一是全部实现</w:t>
      </w:r>
      <w:r>
        <w:rPr>
          <w:rFonts w:hint="eastAsia" w:ascii="仿宋_GB2312" w:hAnsi="黑体" w:eastAsia="仿宋_GB2312" w:cs="黑体"/>
          <w:bCs/>
          <w:color w:val="auto"/>
          <w:sz w:val="32"/>
          <w:szCs w:val="32"/>
          <w:highlight w:val="none"/>
          <w:lang w:val="en-US" w:eastAsia="zh-CN"/>
        </w:rPr>
        <w:t>唯一法定代表人组织架构，建立医共体成员单位负责人选拔任用制度，成员单位负责人均由医共体提名并任命。积极探索社会办医疗机构参与医共体合作，桐乡和济颐养院、浙江雅达国际康复医院先后与桐乡市第一人民医院医疗集团签约参与医共体合作。</w:t>
      </w:r>
      <w:r>
        <w:rPr>
          <w:rFonts w:hint="eastAsia" w:ascii="仿宋_GB2312" w:hAnsi="黑体" w:eastAsia="仿宋_GB2312" w:cs="黑体"/>
          <w:b/>
          <w:bCs w:val="0"/>
          <w:color w:val="auto"/>
          <w:sz w:val="32"/>
          <w:szCs w:val="32"/>
          <w:highlight w:val="none"/>
          <w:lang w:val="en-US" w:eastAsia="zh-CN"/>
        </w:rPr>
        <w:t>二是全部落实</w:t>
      </w:r>
      <w:r>
        <w:rPr>
          <w:rFonts w:hint="eastAsia" w:ascii="仿宋_GB2312" w:hAnsi="黑体" w:eastAsia="仿宋_GB2312" w:cs="黑体"/>
          <w:b w:val="0"/>
          <w:bCs/>
          <w:color w:val="auto"/>
          <w:sz w:val="32"/>
          <w:szCs w:val="32"/>
          <w:highlight w:val="none"/>
          <w:lang w:val="en-US" w:eastAsia="zh-CN"/>
        </w:rPr>
        <w:t>医共体管理扁平化和业务垂直化，医共体内部设立“五大管理中心”（人力资源、财务、医保、公共卫生和信息化），基本实现集团化运作、一体化运行和同质化管理。</w:t>
      </w:r>
      <w:r>
        <w:rPr>
          <w:rFonts w:hint="eastAsia" w:ascii="仿宋_GB2312" w:hAnsi="黑体" w:eastAsia="仿宋_GB2312" w:cs="黑体"/>
          <w:b/>
          <w:bCs w:val="0"/>
          <w:color w:val="auto"/>
          <w:sz w:val="32"/>
          <w:szCs w:val="32"/>
          <w:highlight w:val="none"/>
          <w:lang w:val="en-US" w:eastAsia="zh-CN"/>
        </w:rPr>
        <w:t>三是全部打破</w:t>
      </w:r>
      <w:r>
        <w:rPr>
          <w:rFonts w:hint="eastAsia" w:ascii="仿宋_GB2312" w:hAnsi="黑体" w:eastAsia="仿宋_GB2312" w:cs="黑体"/>
          <w:b w:val="0"/>
          <w:bCs/>
          <w:color w:val="auto"/>
          <w:sz w:val="32"/>
          <w:szCs w:val="32"/>
          <w:highlight w:val="none"/>
          <w:lang w:val="en-US" w:eastAsia="zh-CN"/>
        </w:rPr>
        <w:t>县、镇、村固有分割层级，牵头医院与成员单位共同建设高血压、糖尿病等全（专）科联合门诊57个，老慢支、慢阻肺、恶性肿瘤晚期等慢病联合病房110个。1-6月，牵头单位向成员单位转诊6863人次，同比增长66.09%；成员单位向牵头单位转诊24225人次，同比增长72.60%。</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黑体" w:eastAsia="仿宋_GB2312" w:cs="黑体"/>
          <w:b w:val="0"/>
          <w:bCs/>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（二）管办分离，加快构建管理新格局。</w:t>
      </w:r>
      <w:r>
        <w:rPr>
          <w:rFonts w:hint="eastAsia" w:ascii="仿宋_GB2312" w:hAnsi="黑体" w:eastAsia="仿宋_GB2312" w:cs="黑体"/>
          <w:b w:val="0"/>
          <w:bCs/>
          <w:color w:val="auto"/>
          <w:sz w:val="32"/>
          <w:szCs w:val="32"/>
          <w:highlight w:val="none"/>
          <w:lang w:val="en-US" w:eastAsia="zh-CN"/>
        </w:rPr>
        <w:t>我市各地在医共体管委会的制度框架下，聚焦建成现代医院管理制度目标，以数字化改革为牵引，通过医共体数据共享、流程再造和业务协同，率先推动医共体内实现整体智治。</w:t>
      </w:r>
      <w:r>
        <w:rPr>
          <w:rFonts w:hint="eastAsia" w:ascii="仿宋_GB2312" w:hAnsi="黑体" w:eastAsia="仿宋_GB2312" w:cs="黑体"/>
          <w:b/>
          <w:bCs w:val="0"/>
          <w:color w:val="auto"/>
          <w:sz w:val="32"/>
          <w:szCs w:val="32"/>
          <w:highlight w:val="none"/>
          <w:lang w:val="en-US" w:eastAsia="zh-CN"/>
        </w:rPr>
        <w:t>一是决策更科学。</w:t>
      </w:r>
      <w:r>
        <w:rPr>
          <w:rFonts w:hint="eastAsia" w:ascii="仿宋_GB2312" w:hAnsi="黑体" w:eastAsia="仿宋_GB2312" w:cs="黑体"/>
          <w:b w:val="0"/>
          <w:bCs/>
          <w:color w:val="auto"/>
          <w:sz w:val="32"/>
          <w:szCs w:val="32"/>
          <w:highlight w:val="none"/>
          <w:lang w:val="en-US" w:eastAsia="zh-CN"/>
        </w:rPr>
        <w:t>全面落实党委领导下的院长负责制，建立健全基层党组织参与重要事项决策制度，通过简政放权，县（市）卫健局将该放的权限下放到医共体，加快形成管办分离格局。</w:t>
      </w:r>
      <w:r>
        <w:rPr>
          <w:rFonts w:hint="eastAsia" w:ascii="仿宋_GB2312" w:hAnsi="黑体" w:eastAsia="仿宋_GB2312" w:cs="黑体"/>
          <w:b/>
          <w:bCs w:val="0"/>
          <w:color w:val="auto"/>
          <w:sz w:val="32"/>
          <w:szCs w:val="32"/>
          <w:highlight w:val="none"/>
          <w:lang w:val="en-US" w:eastAsia="zh-CN"/>
        </w:rPr>
        <w:t>二是治理更精准。</w:t>
      </w:r>
      <w:r>
        <w:rPr>
          <w:rFonts w:hint="eastAsia" w:ascii="仿宋_GB2312" w:hAnsi="黑体" w:eastAsia="仿宋_GB2312" w:cs="黑体"/>
          <w:b w:val="0"/>
          <w:bCs/>
          <w:color w:val="auto"/>
          <w:sz w:val="32"/>
          <w:szCs w:val="32"/>
          <w:highlight w:val="none"/>
          <w:lang w:val="en-US" w:eastAsia="zh-CN"/>
        </w:rPr>
        <w:t>加快形成数字医共体组织架构。牵头单位在省内率先实现“两卡融合、一网通办”、无偿献血荣誉证挂号直免等工作。嘉善县打造“健康大脑”县域“数字医共体”，获评“国家医共体建设价值案例信息化建设创新奖”，并成功中榜省发改委数字化改革“揭榜挂帅”项目。平湖市依托牵头医院康复团队，打造医共体“医康养一体化”模式。桐乡市以医共体为基础，通过5G无线通信网络、卫星定位系统、车载视频监控系统等互联网技术,编织医共体现代化智能急救网络。</w:t>
      </w:r>
      <w:r>
        <w:rPr>
          <w:rFonts w:hint="eastAsia" w:ascii="仿宋_GB2312" w:hAnsi="黑体" w:eastAsia="仿宋_GB2312" w:cs="黑体"/>
          <w:b/>
          <w:bCs w:val="0"/>
          <w:color w:val="auto"/>
          <w:sz w:val="32"/>
          <w:szCs w:val="32"/>
          <w:highlight w:val="none"/>
          <w:lang w:val="en-US" w:eastAsia="zh-CN"/>
        </w:rPr>
        <w:t>三是执行更有力。</w:t>
      </w:r>
      <w:r>
        <w:rPr>
          <w:rFonts w:hint="eastAsia" w:ascii="仿宋_GB2312" w:hAnsi="黑体" w:eastAsia="仿宋_GB2312" w:cs="黑体"/>
          <w:b w:val="0"/>
          <w:bCs/>
          <w:color w:val="auto"/>
          <w:sz w:val="32"/>
          <w:szCs w:val="32"/>
          <w:highlight w:val="none"/>
          <w:lang w:val="en-US" w:eastAsia="zh-CN"/>
        </w:rPr>
        <w:t>制定医共体领导班子任期制、年度目标责任制等，全市13个医共体印发2021年重点工作任务清单，逐项明确任务内容、责任单位和完成时限，一体推进建设管理新格局。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黑体" w:eastAsia="仿宋_GB2312" w:cs="黑体"/>
          <w:b w:val="0"/>
          <w:bCs/>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（三）高效协同，加快构建运行新机制。</w:t>
      </w:r>
      <w:r>
        <w:rPr>
          <w:rFonts w:hint="eastAsia" w:ascii="仿宋_GB2312" w:hAnsi="黑体" w:eastAsia="仿宋_GB2312" w:cs="黑体"/>
          <w:b w:val="0"/>
          <w:bCs/>
          <w:color w:val="auto"/>
          <w:sz w:val="32"/>
          <w:szCs w:val="32"/>
          <w:highlight w:val="none"/>
          <w:lang w:val="en-US" w:eastAsia="zh-CN"/>
        </w:rPr>
        <w:t>围绕“一盘棋”“一家人”“一本帐”，坚决打通并整合医共体内各项职能和资源，推动县、镇、村三级卫生机构实现协同高效运作。</w:t>
      </w:r>
      <w:r>
        <w:rPr>
          <w:rFonts w:hint="eastAsia" w:ascii="仿宋_GB2312" w:hAnsi="黑体" w:eastAsia="仿宋_GB2312" w:cs="黑体"/>
          <w:b/>
          <w:bCs w:val="0"/>
          <w:color w:val="auto"/>
          <w:sz w:val="32"/>
          <w:szCs w:val="32"/>
          <w:highlight w:val="none"/>
          <w:lang w:val="en-US" w:eastAsia="zh-CN"/>
        </w:rPr>
        <w:t>在“发展一盘棋”方面</w:t>
      </w:r>
      <w:r>
        <w:rPr>
          <w:rFonts w:hint="eastAsia" w:ascii="仿宋_GB2312" w:hAnsi="黑体" w:eastAsia="仿宋_GB2312" w:cs="黑体"/>
          <w:b w:val="0"/>
          <w:bCs/>
          <w:color w:val="auto"/>
          <w:sz w:val="32"/>
          <w:szCs w:val="32"/>
          <w:highlight w:val="none"/>
          <w:lang w:val="en-US" w:eastAsia="zh-CN"/>
        </w:rPr>
        <w:t>，各地以编制卫生健康事业发展“十四五”规划和医共体五年发展规划为契机，统筹谋划医共体建设，明确发展目标、服务布局、资源配置、人才培养和学科建设等，为实现“一盘棋”发展指明方向、奠定基础。</w:t>
      </w:r>
      <w:r>
        <w:rPr>
          <w:rFonts w:hint="eastAsia" w:ascii="仿宋_GB2312" w:hAnsi="黑体" w:eastAsia="仿宋_GB2312" w:cs="黑体"/>
          <w:b/>
          <w:bCs w:val="0"/>
          <w:color w:val="auto"/>
          <w:sz w:val="32"/>
          <w:szCs w:val="32"/>
          <w:highlight w:val="none"/>
          <w:lang w:val="en-US" w:eastAsia="zh-CN"/>
        </w:rPr>
        <w:t>在“全员一家人”方面</w:t>
      </w:r>
      <w:r>
        <w:rPr>
          <w:rFonts w:hint="eastAsia" w:ascii="仿宋_GB2312" w:hAnsi="黑体" w:eastAsia="仿宋_GB2312" w:cs="黑体"/>
          <w:b w:val="0"/>
          <w:bCs/>
          <w:color w:val="auto"/>
          <w:sz w:val="32"/>
          <w:szCs w:val="32"/>
          <w:highlight w:val="none"/>
          <w:lang w:val="en-US" w:eastAsia="zh-CN"/>
        </w:rPr>
        <w:t>，各地围绕岗位设置、公开招聘、岗位竞聘、自主评聘、人员使用“五统一”工作要求，以岗位为基础，以绩效为核心，实现薪酬分配一体化，并向基层一线和重点岗位倾斜。目前各地均已开展了牵头医院人员参与成员单位负责人竞聘，制定成员单位负责人绩效考核制度和量化指标，2020年以医共体名义为成员单位招聘573人。海盐县率先实行编制备案制管理，重新核定两个医共体的编制数，将医共体作为一个整体，成员单位不单独设置职数，2020年新增97个高级职称编制，由医共体内统一使用，向成员单位和临床一线倾斜。</w:t>
      </w:r>
      <w:r>
        <w:rPr>
          <w:rFonts w:hint="eastAsia" w:ascii="仿宋_GB2312" w:hAnsi="黑体" w:eastAsia="仿宋_GB2312" w:cs="黑体"/>
          <w:b/>
          <w:bCs w:val="0"/>
          <w:color w:val="auto"/>
          <w:sz w:val="32"/>
          <w:szCs w:val="32"/>
          <w:highlight w:val="none"/>
          <w:lang w:val="en-US" w:eastAsia="zh-CN"/>
        </w:rPr>
        <w:t>在“财务一本账”方面</w:t>
      </w:r>
      <w:r>
        <w:rPr>
          <w:rFonts w:hint="eastAsia" w:ascii="仿宋_GB2312" w:hAnsi="黑体" w:eastAsia="仿宋_GB2312" w:cs="黑体"/>
          <w:b w:val="0"/>
          <w:bCs/>
          <w:color w:val="auto"/>
          <w:sz w:val="32"/>
          <w:szCs w:val="32"/>
          <w:highlight w:val="none"/>
          <w:lang w:val="en-US" w:eastAsia="zh-CN"/>
        </w:rPr>
        <w:t>，所有医共体均成立了财务管理中心，全面落实账户管理、预算管理、价格管理、资产管理“四统一”的财务管理制度，实行财务统一管理、集中核算，药品、耗材、器械统一采购，资产统一规划管理。</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仿宋_GB2312"/>
          <w:color w:val="auto"/>
          <w:sz w:val="32"/>
          <w:szCs w:val="32"/>
          <w:highlight w:val="none"/>
          <w:lang w:eastAsia="zh-CN"/>
        </w:rPr>
      </w:pPr>
      <w:r>
        <w:rPr>
          <w:rFonts w:hint="eastAsia" w:ascii="黑体" w:hAnsi="黑体" w:eastAsia="黑体" w:cs="仿宋_GB2312"/>
          <w:color w:val="auto"/>
          <w:sz w:val="32"/>
          <w:szCs w:val="32"/>
          <w:highlight w:val="none"/>
          <w:lang w:eastAsia="zh-CN"/>
        </w:rPr>
        <w:t>二</w:t>
      </w:r>
      <w:r>
        <w:rPr>
          <w:rFonts w:hint="eastAsia" w:ascii="黑体" w:hAnsi="黑体" w:eastAsia="黑体" w:cs="仿宋_GB2312"/>
          <w:color w:val="auto"/>
          <w:sz w:val="32"/>
          <w:szCs w:val="32"/>
          <w:highlight w:val="none"/>
        </w:rPr>
        <w:t>、存在问题困难</w:t>
      </w:r>
    </w:p>
    <w:p>
      <w:pPr>
        <w:pStyle w:val="2"/>
        <w:rPr>
          <w:rFonts w:hint="default" w:ascii="仿宋_GB2312" w:hAnsi="仿宋_GB2312" w:eastAsia="仿宋_GB2312" w:cs="仿宋_GB2312"/>
          <w:snapToGrid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（一）医共体医疗卫生服务能力需进一步提升</w:t>
      </w:r>
      <w:r>
        <w:rPr>
          <w:rFonts w:hint="default" w:ascii="楷体_GB2312" w:hAnsi="楷体_GB2312" w:eastAsia="楷体_GB2312" w:cs="楷体_GB2312"/>
          <w:b w:val="0"/>
          <w:bCs w:val="0"/>
          <w:color w:val="auto"/>
          <w:sz w:val="32"/>
          <w:szCs w:val="32"/>
          <w:highlight w:val="none"/>
          <w:lang w:val="en-US" w:eastAsia="zh-CN"/>
        </w:rPr>
        <w:t>。</w:t>
      </w:r>
      <w:r>
        <w:rPr>
          <w:rFonts w:hint="eastAsia" w:ascii="仿宋_GB2312" w:hAnsi="仿宋_GB2312" w:eastAsia="仿宋_GB2312" w:cs="仿宋_GB2312"/>
          <w:snapToGrid w:val="0"/>
          <w:color w:val="auto"/>
          <w:sz w:val="32"/>
          <w:szCs w:val="32"/>
          <w:highlight w:val="none"/>
          <w:lang w:val="en-US" w:eastAsia="zh-CN"/>
        </w:rPr>
        <w:t>我市13家医共体牵头医疗机构中，三级乙等6家，二级甲等6家，二级乙等1家，平湖市、海盐县综合医院还没有三级标准，</w:t>
      </w:r>
      <w:r>
        <w:rPr>
          <w:rFonts w:hint="eastAsia" w:ascii="仿宋_GB2312" w:hAnsi="仿宋_GB2312" w:eastAsia="仿宋_GB2312" w:cs="仿宋_GB2312"/>
          <w:snapToGrid w:val="0"/>
          <w:color w:val="auto"/>
          <w:sz w:val="32"/>
          <w:szCs w:val="32"/>
          <w:highlight w:val="none"/>
          <w:lang w:eastAsia="zh-CN"/>
        </w:rPr>
        <w:t>牵头医院自身能力有待提升。嘉善县、平湖市赴上海就诊患者相对较多，全市县域就诊率</w:t>
      </w:r>
      <w:r>
        <w:rPr>
          <w:rFonts w:hint="eastAsia" w:ascii="仿宋_GB2312" w:hAnsi="仿宋_GB2312" w:eastAsia="仿宋_GB2312" w:cs="仿宋_GB2312"/>
          <w:snapToGrid w:val="0"/>
          <w:color w:val="auto"/>
          <w:sz w:val="32"/>
          <w:szCs w:val="32"/>
          <w:highlight w:val="none"/>
          <w:lang w:val="en-US" w:eastAsia="zh-CN"/>
        </w:rPr>
        <w:t>尚</w:t>
      </w:r>
      <w:r>
        <w:rPr>
          <w:rFonts w:hint="eastAsia" w:ascii="仿宋_GB2312" w:hAnsi="仿宋_GB2312" w:eastAsia="仿宋_GB2312" w:cs="仿宋_GB2312"/>
          <w:snapToGrid w:val="0"/>
          <w:color w:val="auto"/>
          <w:sz w:val="32"/>
          <w:szCs w:val="32"/>
          <w:highlight w:val="none"/>
          <w:lang w:eastAsia="zh-CN"/>
        </w:rPr>
        <w:t>未达到</w:t>
      </w:r>
      <w:r>
        <w:rPr>
          <w:rFonts w:hint="eastAsia" w:ascii="仿宋_GB2312" w:hAnsi="仿宋_GB2312" w:eastAsia="仿宋_GB2312" w:cs="仿宋_GB2312"/>
          <w:snapToGrid w:val="0"/>
          <w:color w:val="auto"/>
          <w:sz w:val="32"/>
          <w:szCs w:val="32"/>
          <w:highlight w:val="none"/>
          <w:lang w:val="en-US" w:eastAsia="zh-CN"/>
        </w:rPr>
        <w:t>90%</w:t>
      </w:r>
      <w:r>
        <w:rPr>
          <w:rFonts w:hint="eastAsia" w:ascii="仿宋_GB2312" w:hAnsi="仿宋_GB2312" w:eastAsia="仿宋_GB2312" w:cs="仿宋_GB2312"/>
          <w:snapToGrid w:val="0"/>
          <w:color w:val="auto"/>
          <w:sz w:val="32"/>
          <w:szCs w:val="32"/>
          <w:highlight w:val="none"/>
          <w:lang w:eastAsia="zh-CN"/>
        </w:rPr>
        <w:t>。基层卫生机构医疗能力提升主要依靠</w:t>
      </w:r>
      <w:r>
        <w:rPr>
          <w:rFonts w:hint="eastAsia" w:ascii="仿宋_GB2312" w:hAnsi="仿宋_GB2312" w:eastAsia="仿宋_GB2312" w:cs="仿宋_GB2312"/>
          <w:snapToGrid w:val="0"/>
          <w:color w:val="auto"/>
          <w:sz w:val="32"/>
          <w:szCs w:val="32"/>
          <w:highlight w:val="none"/>
        </w:rPr>
        <w:t>牵头医院医生的下沉</w:t>
      </w:r>
      <w:r>
        <w:rPr>
          <w:rFonts w:hint="eastAsia" w:ascii="仿宋_GB2312" w:hAnsi="仿宋_GB2312" w:eastAsia="仿宋_GB2312" w:cs="仿宋_GB2312"/>
          <w:snapToGrid w:val="0"/>
          <w:color w:val="auto"/>
          <w:sz w:val="32"/>
          <w:szCs w:val="32"/>
          <w:highlight w:val="none"/>
          <w:lang w:eastAsia="zh-CN"/>
        </w:rPr>
        <w:t>服务</w:t>
      </w:r>
      <w:r>
        <w:rPr>
          <w:rFonts w:hint="eastAsia" w:ascii="仿宋_GB2312" w:hAnsi="仿宋_GB2312" w:eastAsia="仿宋_GB2312" w:cs="仿宋_GB2312"/>
          <w:snapToGrid w:val="0"/>
          <w:color w:val="auto"/>
          <w:sz w:val="32"/>
          <w:szCs w:val="32"/>
          <w:highlight w:val="none"/>
        </w:rPr>
        <w:t>，</w:t>
      </w:r>
      <w:r>
        <w:rPr>
          <w:rFonts w:hint="eastAsia" w:ascii="仿宋_GB2312" w:hAnsi="仿宋_GB2312" w:eastAsia="仿宋_GB2312" w:cs="仿宋_GB2312"/>
          <w:snapToGrid w:val="0"/>
          <w:color w:val="auto"/>
          <w:sz w:val="32"/>
          <w:szCs w:val="32"/>
          <w:highlight w:val="none"/>
          <w:lang w:eastAsia="zh-CN"/>
        </w:rPr>
        <w:t>部分下沉人员管理能力、医疗技术不强，对提升基层服务能力成效不明显。</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snapToGrid w:val="0"/>
          <w:color w:val="auto"/>
          <w:sz w:val="32"/>
          <w:szCs w:val="32"/>
          <w:highlight w:val="none"/>
          <w:lang w:val="en-US" w:eastAsia="zh-CN"/>
        </w:rPr>
      </w:pPr>
      <w:r>
        <w:rPr>
          <w:rFonts w:hint="eastAsia" w:ascii="仿宋_GB2312" w:hAnsi="仿宋_GB2312" w:eastAsia="仿宋_GB2312" w:cs="仿宋_GB2312"/>
          <w:snapToGrid w:val="0"/>
          <w:color w:val="auto"/>
          <w:sz w:val="32"/>
          <w:szCs w:val="32"/>
          <w:highlight w:val="none"/>
          <w:lang w:val="en-US" w:eastAsia="zh-CN"/>
        </w:rPr>
        <w:t xml:space="preserve"> </w:t>
      </w:r>
      <w:r>
        <w:rPr>
          <w:rFonts w:hint="eastAsia" w:ascii="楷体_GB2312" w:hAnsi="楷体_GB2312" w:eastAsia="楷体_GB2312" w:cs="楷体_GB2312"/>
          <w:b w:val="0"/>
          <w:bCs w:val="0"/>
          <w:color w:val="auto"/>
          <w:sz w:val="32"/>
          <w:szCs w:val="32"/>
          <w:highlight w:val="none"/>
          <w:lang w:val="en-US" w:eastAsia="zh-CN"/>
        </w:rPr>
        <w:t>（二）医共体深度融合发展需进一步加强。</w:t>
      </w:r>
      <w:r>
        <w:rPr>
          <w:rFonts w:hint="eastAsia" w:ascii="仿宋_GB2312" w:hAnsi="仿宋_GB2312" w:eastAsia="仿宋_GB2312" w:cs="仿宋_GB2312"/>
          <w:snapToGrid w:val="0"/>
          <w:color w:val="auto"/>
          <w:sz w:val="32"/>
          <w:szCs w:val="32"/>
          <w:highlight w:val="none"/>
          <w:lang w:val="en-US" w:eastAsia="zh-CN"/>
        </w:rPr>
        <w:t>目前部分医共体单位的改革意识还不够强，还没有真正实现全员岗位管理，没有完全落实按需设岗、按岗聘用、竞聘上岗、人岗相适的改革要求，还有部分成员单位在基本存款账户之外还有其他账户，没有完全做到“财务一本帐”。</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snapToGrid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（三）医共体人员流动壁垒需进一步打破。</w:t>
      </w:r>
      <w:r>
        <w:rPr>
          <w:rFonts w:hint="eastAsia" w:ascii="仿宋_GB2312" w:hAnsi="仿宋_GB2312" w:eastAsia="仿宋_GB2312" w:cs="仿宋_GB2312"/>
          <w:snapToGrid w:val="0"/>
          <w:color w:val="auto"/>
          <w:sz w:val="32"/>
          <w:szCs w:val="32"/>
          <w:highlight w:val="none"/>
          <w:lang w:val="en-US" w:eastAsia="zh-CN"/>
        </w:rPr>
        <w:t>目前牵头医院新招聘人员大多为备案制，而成员单位（主要是基层卫生机构）仍维持原事业编制性质。牵头单位医师注册的执业范围大部分为专科医师，而成员单位大部分为全科医师，导致医共体内部人员调配和上下流动还存在一定阻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仿宋_GB2312"/>
          <w:color w:val="auto"/>
          <w:sz w:val="32"/>
          <w:szCs w:val="32"/>
          <w:highlight w:val="none"/>
          <w:lang w:eastAsia="zh-CN"/>
        </w:rPr>
      </w:pPr>
      <w:r>
        <w:rPr>
          <w:rFonts w:hint="eastAsia" w:ascii="黑体" w:hAnsi="黑体" w:eastAsia="黑体" w:cs="仿宋_GB2312"/>
          <w:color w:val="auto"/>
          <w:sz w:val="32"/>
          <w:szCs w:val="32"/>
          <w:highlight w:val="none"/>
          <w:lang w:eastAsia="zh-CN"/>
        </w:rPr>
        <w:t>三</w:t>
      </w:r>
      <w:r>
        <w:rPr>
          <w:rFonts w:hint="eastAsia" w:ascii="黑体" w:hAnsi="黑体" w:eastAsia="黑体" w:cs="仿宋_GB2312"/>
          <w:color w:val="auto"/>
          <w:sz w:val="32"/>
          <w:szCs w:val="32"/>
          <w:highlight w:val="none"/>
        </w:rPr>
        <w:t>、下一步工作</w:t>
      </w:r>
      <w:r>
        <w:rPr>
          <w:rFonts w:hint="eastAsia" w:ascii="黑体" w:hAnsi="黑体" w:eastAsia="黑体" w:cs="仿宋_GB2312"/>
          <w:color w:val="auto"/>
          <w:sz w:val="32"/>
          <w:szCs w:val="32"/>
          <w:highlight w:val="none"/>
          <w:lang w:eastAsia="zh-CN"/>
        </w:rPr>
        <w:t>打算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宋体" w:eastAsia="仿宋_GB2312" w:cs="Times New Roman"/>
          <w:color w:val="auto"/>
          <w:kern w:val="2"/>
          <w:sz w:val="32"/>
          <w:szCs w:val="32"/>
          <w:highlight w:val="none"/>
          <w:lang w:eastAsia="zh-CN"/>
        </w:rPr>
      </w:pPr>
      <w:r>
        <w:rPr>
          <w:rFonts w:hint="eastAsia" w:ascii="仿宋_GB2312" w:hAnsi="楷体_GB2312" w:eastAsia="仿宋_GB2312" w:cs="楷体_GB2312"/>
          <w:color w:val="auto"/>
          <w:sz w:val="32"/>
          <w:szCs w:val="32"/>
          <w:highlight w:val="none"/>
          <w:lang w:eastAsia="zh-CN"/>
        </w:rPr>
        <w:t>我委将继续高度重视医共体建设工作，把好方向、抓住机遇、强化保障，持续</w:t>
      </w:r>
      <w:r>
        <w:rPr>
          <w:rFonts w:hint="eastAsia" w:ascii="仿宋_GB2312" w:hAnsi="宋体" w:eastAsia="仿宋_GB2312" w:cs="Times New Roman"/>
          <w:color w:val="auto"/>
          <w:kern w:val="2"/>
          <w:sz w:val="32"/>
          <w:szCs w:val="32"/>
          <w:highlight w:val="none"/>
          <w:lang w:eastAsia="zh-CN"/>
        </w:rPr>
        <w:t>做大</w:t>
      </w:r>
      <w:r>
        <w:rPr>
          <w:rFonts w:hint="eastAsia" w:ascii="仿宋_GB2312" w:hAnsi="仿宋_GB2312" w:eastAsia="仿宋_GB2312" w:cs="仿宋_GB2312"/>
          <w:i w:val="0"/>
          <w:caps w:val="0"/>
          <w:snapToGrid w:val="0"/>
          <w:color w:val="auto"/>
          <w:spacing w:val="0"/>
          <w:kern w:val="2"/>
          <w:sz w:val="32"/>
          <w:szCs w:val="32"/>
          <w:highlight w:val="none"/>
          <w:shd w:val="clear"/>
          <w:lang w:val="en-US" w:eastAsia="zh-CN" w:bidi="ar"/>
        </w:rPr>
        <w:t>做强县域医疗服务能力。到2025年县域三级综合医院和中医院覆盖率达到100%，牵头单位均达到二甲以上水平，牵头医院和基层医院围绕“发展一盘棋”“全员一家人”“财务一本账”改革方向，真正做到人财物“三统一”，逐步形成基层首诊、分级诊疗、急慢分治、上下联动的就医秩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napToGrid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（一）强化政府主导，共建共担医共体发展重任。</w:t>
      </w:r>
      <w:r>
        <w:rPr>
          <w:rFonts w:hint="eastAsia" w:ascii="仿宋_GB2312" w:hAnsi="仿宋_GB2312" w:eastAsia="仿宋_GB2312" w:cs="仿宋_GB2312"/>
          <w:color w:val="auto"/>
          <w:sz w:val="32"/>
          <w:szCs w:val="32"/>
          <w:highlight w:val="none"/>
          <w:lang w:val="en-US" w:eastAsia="zh-CN"/>
        </w:rPr>
        <w:t>进一步发挥政府主体责任，</w:t>
      </w:r>
      <w:r>
        <w:rPr>
          <w:rFonts w:hint="eastAsia" w:ascii="仿宋_GB2312" w:hAnsi="仿宋_GB2312" w:eastAsia="仿宋_GB2312" w:cs="仿宋_GB2312"/>
          <w:snapToGrid w:val="0"/>
          <w:color w:val="auto"/>
          <w:sz w:val="32"/>
          <w:szCs w:val="32"/>
          <w:highlight w:val="none"/>
          <w:lang w:val="en-US" w:eastAsia="zh-CN"/>
        </w:rPr>
        <w:t>谋划出台医共体改革政策，破除制度障碍，打破利益藩篱，共同解决医共体推进过程中的难点堵点，激发医共体内生动力和发展活力。深入贯彻2021年7月20日全国医改会议的精神，落实“两个允许”要求，合理确定、动态调整公立医院薪酬水平，加快推进符合医共体特点的人事薪酬制度、岗位聘用管理制度和绩效分配制度改革，推动医共体内人员有序流动，真正实现“全员一家人”。</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snapToGrid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（二）强化能力建设，联动提升医共体服务水平。</w:t>
      </w:r>
      <w:r>
        <w:rPr>
          <w:rFonts w:hint="eastAsia" w:ascii="仿宋_GB2312" w:hAnsi="仿宋_GB2312" w:eastAsia="仿宋_GB2312" w:cs="仿宋_GB2312"/>
          <w:b/>
          <w:bCs/>
          <w:color w:val="auto"/>
          <w:sz w:val="32"/>
          <w:szCs w:val="32"/>
          <w:highlight w:val="none"/>
        </w:rPr>
        <w:t>一是</w:t>
      </w:r>
      <w:r>
        <w:rPr>
          <w:rFonts w:hint="eastAsia" w:ascii="仿宋_GB2312" w:hAnsi="仿宋_GB2312" w:eastAsia="仿宋_GB2312" w:cs="仿宋_GB2312"/>
          <w:color w:val="auto"/>
          <w:sz w:val="32"/>
          <w:szCs w:val="32"/>
          <w:highlight w:val="none"/>
        </w:rPr>
        <w:t>强龙头，</w:t>
      </w:r>
      <w:r>
        <w:rPr>
          <w:rFonts w:hint="eastAsia" w:ascii="仿宋_GB2312" w:hAnsi="仿宋_GB2312" w:eastAsia="仿宋_GB2312" w:cs="仿宋_GB2312"/>
          <w:color w:val="auto"/>
          <w:sz w:val="32"/>
          <w:szCs w:val="32"/>
          <w:highlight w:val="none"/>
          <w:lang w:eastAsia="zh-CN"/>
        </w:rPr>
        <w:t>加强市县重点学科、重点专科建设，提升牵头医院的管理水平和业务水平，补齐牵头医院学科建设</w:t>
      </w:r>
      <w:r>
        <w:rPr>
          <w:rFonts w:hint="default" w:ascii="仿宋_GB2312" w:hAnsi="仿宋_GB2312" w:eastAsia="仿宋_GB2312" w:cs="仿宋_GB2312"/>
          <w:color w:val="auto"/>
          <w:sz w:val="32"/>
          <w:szCs w:val="32"/>
          <w:highlight w:val="none"/>
          <w:lang w:eastAsia="zh-CN"/>
        </w:rPr>
        <w:t>短</w:t>
      </w:r>
      <w:r>
        <w:rPr>
          <w:rFonts w:hint="eastAsia" w:ascii="仿宋_GB2312" w:hAnsi="仿宋_GB2312" w:eastAsia="仿宋_GB2312" w:cs="仿宋_GB2312"/>
          <w:color w:val="auto"/>
          <w:sz w:val="32"/>
          <w:szCs w:val="32"/>
          <w:highlight w:val="none"/>
          <w:lang w:eastAsia="zh-CN"/>
        </w:rPr>
        <w:t>板</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力争在“十四五”期间</w:t>
      </w:r>
      <w:r>
        <w:rPr>
          <w:rFonts w:hint="eastAsia" w:ascii="仿宋_GB2312" w:hAnsi="仿宋_GB2312" w:eastAsia="仿宋_GB2312" w:cs="仿宋_GB2312"/>
          <w:color w:val="auto"/>
          <w:sz w:val="32"/>
          <w:szCs w:val="32"/>
          <w:highlight w:val="none"/>
        </w:rPr>
        <w:t>实现</w:t>
      </w:r>
      <w:r>
        <w:rPr>
          <w:rFonts w:hint="eastAsia" w:ascii="仿宋_GB2312" w:hAnsi="仿宋_GB2312" w:eastAsia="仿宋_GB2312" w:cs="仿宋_GB2312"/>
          <w:color w:val="auto"/>
          <w:sz w:val="32"/>
          <w:szCs w:val="32"/>
          <w:highlight w:val="none"/>
          <w:lang w:eastAsia="zh-CN"/>
        </w:rPr>
        <w:t>医共体牵头医院</w:t>
      </w:r>
      <w:r>
        <w:rPr>
          <w:rFonts w:hint="eastAsia" w:ascii="仿宋_GB2312" w:hAnsi="仿宋_GB2312" w:eastAsia="仿宋_GB2312" w:cs="仿宋_GB2312"/>
          <w:color w:val="auto"/>
          <w:sz w:val="32"/>
          <w:szCs w:val="32"/>
          <w:highlight w:val="none"/>
        </w:rPr>
        <w:t>三甲等级的突破。</w:t>
      </w:r>
      <w:r>
        <w:rPr>
          <w:rFonts w:hint="eastAsia" w:ascii="仿宋_GB2312" w:hAnsi="仿宋_GB2312" w:eastAsia="仿宋_GB2312" w:cs="仿宋_GB2312"/>
          <w:b/>
          <w:bCs/>
          <w:color w:val="auto"/>
          <w:sz w:val="32"/>
          <w:szCs w:val="32"/>
          <w:highlight w:val="none"/>
        </w:rPr>
        <w:t>二是</w:t>
      </w:r>
      <w:r>
        <w:rPr>
          <w:rFonts w:hint="eastAsia" w:ascii="仿宋_GB2312" w:hAnsi="仿宋_GB2312" w:eastAsia="仿宋_GB2312" w:cs="仿宋_GB2312"/>
          <w:color w:val="auto"/>
          <w:sz w:val="32"/>
          <w:szCs w:val="32"/>
          <w:highlight w:val="none"/>
        </w:rPr>
        <w:t>强基础，加强基层医疗卫生机构标准化建设，加大基层</w:t>
      </w:r>
      <w:r>
        <w:rPr>
          <w:rFonts w:hint="eastAsia" w:ascii="仿宋_GB2312" w:hAnsi="仿宋_GB2312" w:eastAsia="仿宋_GB2312" w:cs="仿宋_GB2312"/>
          <w:color w:val="auto"/>
          <w:sz w:val="32"/>
          <w:szCs w:val="32"/>
          <w:highlight w:val="none"/>
          <w:lang w:eastAsia="zh-CN"/>
        </w:rPr>
        <w:t>医疗机构引才</w:t>
      </w:r>
      <w:r>
        <w:rPr>
          <w:rFonts w:hint="eastAsia" w:ascii="仿宋_GB2312" w:hAnsi="仿宋_GB2312" w:eastAsia="仿宋_GB2312" w:cs="仿宋_GB2312"/>
          <w:color w:val="auto"/>
          <w:sz w:val="32"/>
          <w:szCs w:val="32"/>
          <w:highlight w:val="none"/>
        </w:rPr>
        <w:t>力度，</w:t>
      </w:r>
      <w:r>
        <w:rPr>
          <w:rFonts w:hint="eastAsia" w:ascii="仿宋_GB2312" w:hAnsi="仿宋_GB2312" w:eastAsia="仿宋_GB2312" w:cs="仿宋_GB2312"/>
          <w:color w:val="auto"/>
          <w:sz w:val="32"/>
          <w:szCs w:val="32"/>
          <w:highlight w:val="none"/>
          <w:lang w:eastAsia="zh-CN"/>
        </w:rPr>
        <w:t>持续推进</w:t>
      </w:r>
      <w:r>
        <w:rPr>
          <w:rFonts w:hint="eastAsia" w:ascii="仿宋_GB2312" w:hAnsi="仿宋_GB2312" w:eastAsia="仿宋_GB2312" w:cs="仿宋_GB2312"/>
          <w:color w:val="auto"/>
          <w:sz w:val="32"/>
          <w:szCs w:val="32"/>
          <w:highlight w:val="none"/>
          <w:lang w:val="en-US" w:eastAsia="zh-CN"/>
        </w:rPr>
        <w:t>人才</w:t>
      </w:r>
      <w:r>
        <w:rPr>
          <w:rFonts w:hint="eastAsia" w:ascii="仿宋_GB2312" w:hAnsi="仿宋_GB2312" w:eastAsia="仿宋_GB2312" w:cs="仿宋_GB2312"/>
          <w:color w:val="auto"/>
          <w:sz w:val="32"/>
          <w:szCs w:val="32"/>
          <w:highlight w:val="none"/>
          <w:lang w:eastAsia="zh-CN"/>
        </w:rPr>
        <w:t>定向培养政策，</w:t>
      </w:r>
      <w:r>
        <w:rPr>
          <w:rFonts w:hint="eastAsia" w:ascii="仿宋_GB2312" w:hAnsi="仿宋_GB2312" w:eastAsia="仿宋_GB2312" w:cs="仿宋_GB2312"/>
          <w:color w:val="auto"/>
          <w:sz w:val="32"/>
          <w:szCs w:val="32"/>
          <w:highlight w:val="none"/>
        </w:rPr>
        <w:t>鼓励和引导医学专业毕业生到基层工作，提升基层医疗服务水平，实现基本医疗</w:t>
      </w:r>
      <w:r>
        <w:rPr>
          <w:rFonts w:hint="eastAsia" w:ascii="仿宋_GB2312" w:hAnsi="仿宋_GB2312" w:eastAsia="仿宋_GB2312" w:cs="仿宋_GB2312"/>
          <w:color w:val="auto"/>
          <w:sz w:val="32"/>
          <w:szCs w:val="32"/>
          <w:highlight w:val="none"/>
          <w:lang w:val="en-US" w:eastAsia="zh-CN"/>
        </w:rPr>
        <w:t>服务</w:t>
      </w:r>
      <w:r>
        <w:rPr>
          <w:rFonts w:hint="eastAsia" w:ascii="仿宋_GB2312" w:hAnsi="仿宋_GB2312" w:eastAsia="仿宋_GB2312" w:cs="仿宋_GB2312"/>
          <w:color w:val="auto"/>
          <w:sz w:val="32"/>
          <w:szCs w:val="32"/>
          <w:highlight w:val="none"/>
        </w:rPr>
        <w:t>的公平可及。</w:t>
      </w:r>
      <w:r>
        <w:rPr>
          <w:rFonts w:hint="eastAsia" w:ascii="仿宋_GB2312" w:hAnsi="仿宋_GB2312" w:eastAsia="仿宋_GB2312" w:cs="仿宋_GB2312"/>
          <w:b/>
          <w:bCs/>
          <w:color w:val="auto"/>
          <w:sz w:val="32"/>
          <w:szCs w:val="32"/>
          <w:highlight w:val="none"/>
        </w:rPr>
        <w:t>三是</w:t>
      </w:r>
      <w:r>
        <w:rPr>
          <w:rFonts w:hint="eastAsia" w:ascii="仿宋_GB2312" w:hAnsi="仿宋_GB2312" w:eastAsia="仿宋_GB2312" w:cs="仿宋_GB2312"/>
          <w:color w:val="auto"/>
          <w:sz w:val="32"/>
          <w:szCs w:val="32"/>
          <w:highlight w:val="none"/>
        </w:rPr>
        <w:t>建网络。进一步明确医共体内各级医疗机构的职责，</w:t>
      </w:r>
      <w:r>
        <w:rPr>
          <w:rFonts w:hint="eastAsia" w:ascii="仿宋_GB2312" w:hAnsi="仿宋_GB2312" w:eastAsia="仿宋_GB2312" w:cs="仿宋_GB2312"/>
          <w:color w:val="auto"/>
          <w:sz w:val="32"/>
          <w:szCs w:val="32"/>
          <w:highlight w:val="none"/>
          <w:lang w:val="en-US" w:eastAsia="zh-CN"/>
        </w:rPr>
        <w:t>优化资源配置、提升服务效率，</w:t>
      </w:r>
      <w:r>
        <w:rPr>
          <w:rFonts w:hint="eastAsia" w:ascii="仿宋_GB2312" w:hAnsi="仿宋_GB2312" w:eastAsia="仿宋_GB2312" w:cs="仿宋_GB2312"/>
          <w:color w:val="auto"/>
          <w:sz w:val="32"/>
          <w:szCs w:val="32"/>
          <w:highlight w:val="none"/>
        </w:rPr>
        <w:t>形成牵头</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lang w:eastAsia="zh-CN"/>
        </w:rPr>
        <w:t>成员单位</w:t>
      </w:r>
      <w:r>
        <w:rPr>
          <w:rFonts w:hint="eastAsia" w:ascii="仿宋_GB2312" w:hAnsi="仿宋_GB2312" w:eastAsia="仿宋_GB2312" w:cs="仿宋_GB2312"/>
          <w:color w:val="auto"/>
          <w:sz w:val="32"/>
          <w:szCs w:val="32"/>
          <w:highlight w:val="none"/>
        </w:rPr>
        <w:t>良性互动、资源共享的网络化医疗卫生服务格局。</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zh-CN"/>
        </w:rPr>
      </w:pPr>
      <w:r>
        <w:rPr>
          <w:rFonts w:hint="eastAsia" w:ascii="楷体_GB2312" w:hAnsi="楷体_GB2312" w:eastAsia="楷体_GB2312" w:cs="楷体_GB2312"/>
          <w:b w:val="0"/>
          <w:bCs w:val="0"/>
          <w:color w:val="auto"/>
          <w:sz w:val="32"/>
          <w:szCs w:val="32"/>
          <w:highlight w:val="none"/>
          <w:lang w:val="en-US" w:eastAsia="zh-CN"/>
        </w:rPr>
        <w:t>（三）强化督查指导，落实落细医共体改革任务。</w:t>
      </w:r>
      <w:r>
        <w:rPr>
          <w:rFonts w:hint="eastAsia" w:ascii="仿宋_GB2312" w:hAnsi="仿宋_GB2312" w:eastAsia="仿宋_GB2312" w:cs="仿宋_GB2312"/>
          <w:color w:val="auto"/>
          <w:kern w:val="0"/>
          <w:sz w:val="32"/>
          <w:szCs w:val="32"/>
          <w:highlight w:val="none"/>
          <w:lang w:val="zh-CN"/>
        </w:rPr>
        <w:t>健全考核评价机制，</w:t>
      </w:r>
      <w:r>
        <w:rPr>
          <w:rFonts w:ascii="仿宋_GB2312" w:hAnsi="仿宋_GB2312" w:eastAsia="仿宋_GB2312" w:cs="仿宋_GB2312"/>
          <w:color w:val="auto"/>
          <w:kern w:val="0"/>
          <w:sz w:val="32"/>
          <w:szCs w:val="32"/>
          <w:highlight w:val="none"/>
          <w:lang w:val="zh-CN"/>
        </w:rPr>
        <w:t>将考核</w:t>
      </w:r>
      <w:r>
        <w:rPr>
          <w:rFonts w:hint="eastAsia" w:ascii="仿宋_GB2312" w:hAnsi="仿宋_GB2312" w:eastAsia="仿宋_GB2312" w:cs="仿宋_GB2312"/>
          <w:color w:val="auto"/>
          <w:kern w:val="0"/>
          <w:sz w:val="32"/>
          <w:szCs w:val="32"/>
          <w:highlight w:val="none"/>
          <w:lang w:val="zh-CN"/>
        </w:rPr>
        <w:t>结果</w:t>
      </w:r>
      <w:r>
        <w:rPr>
          <w:rFonts w:ascii="仿宋_GB2312" w:hAnsi="仿宋_GB2312" w:eastAsia="仿宋_GB2312" w:cs="仿宋_GB2312"/>
          <w:color w:val="auto"/>
          <w:kern w:val="0"/>
          <w:sz w:val="32"/>
          <w:szCs w:val="32"/>
          <w:highlight w:val="none"/>
          <w:lang w:val="zh-CN"/>
        </w:rPr>
        <w:t>与财政投入、医保支付</w:t>
      </w:r>
      <w:r>
        <w:rPr>
          <w:rFonts w:hint="eastAsia" w:ascii="仿宋_GB2312" w:hAnsi="仿宋_GB2312" w:eastAsia="仿宋_GB2312" w:cs="仿宋_GB2312"/>
          <w:color w:val="auto"/>
          <w:kern w:val="0"/>
          <w:sz w:val="32"/>
          <w:szCs w:val="32"/>
          <w:highlight w:val="none"/>
          <w:lang w:val="zh-CN"/>
        </w:rPr>
        <w:t>，</w:t>
      </w:r>
      <w:r>
        <w:rPr>
          <w:rFonts w:ascii="仿宋_GB2312" w:hAnsi="仿宋_GB2312" w:eastAsia="仿宋_GB2312" w:cs="仿宋_GB2312"/>
          <w:color w:val="auto"/>
          <w:kern w:val="0"/>
          <w:sz w:val="32"/>
          <w:szCs w:val="32"/>
          <w:highlight w:val="none"/>
          <w:lang w:val="zh-CN"/>
        </w:rPr>
        <w:t>以及干部薪酬、任免和奖惩等挂钩。</w:t>
      </w:r>
      <w:r>
        <w:rPr>
          <w:rFonts w:hint="eastAsia" w:ascii="仿宋_GB2312" w:hAnsi="仿宋_GB2312" w:eastAsia="仿宋_GB2312" w:cs="仿宋_GB2312"/>
          <w:color w:val="auto"/>
          <w:kern w:val="0"/>
          <w:sz w:val="32"/>
          <w:szCs w:val="32"/>
          <w:highlight w:val="none"/>
          <w:lang w:val="zh-CN"/>
        </w:rPr>
        <w:t>健全督查机制，</w:t>
      </w:r>
      <w:r>
        <w:rPr>
          <w:rFonts w:hint="eastAsia" w:ascii="仿宋_GB2312" w:hAnsi="仿宋_GB2312" w:eastAsia="仿宋_GB2312" w:cs="仿宋_GB2312"/>
          <w:snapToGrid w:val="0"/>
          <w:color w:val="auto"/>
          <w:sz w:val="32"/>
          <w:szCs w:val="32"/>
          <w:highlight w:val="none"/>
          <w:lang w:eastAsia="zh-CN"/>
        </w:rPr>
        <w:t>对照医共体建设</w:t>
      </w:r>
      <w:r>
        <w:rPr>
          <w:rFonts w:hint="eastAsia" w:ascii="仿宋_GB2312" w:hAnsi="仿宋_GB2312" w:eastAsia="仿宋_GB2312" w:cs="仿宋_GB2312"/>
          <w:snapToGrid w:val="0"/>
          <w:color w:val="auto"/>
          <w:sz w:val="32"/>
          <w:szCs w:val="32"/>
          <w:highlight w:val="none"/>
          <w:lang w:val="en-US" w:eastAsia="zh-CN"/>
        </w:rPr>
        <w:t>39项重点任务清单，</w:t>
      </w:r>
      <w:r>
        <w:rPr>
          <w:rFonts w:hint="eastAsia" w:ascii="仿宋_GB2312" w:hAnsi="仿宋_GB2312" w:eastAsia="仿宋_GB2312" w:cs="仿宋_GB2312"/>
          <w:color w:val="auto"/>
          <w:kern w:val="0"/>
          <w:sz w:val="32"/>
          <w:szCs w:val="32"/>
          <w:highlight w:val="none"/>
          <w:lang w:val="zh-CN"/>
        </w:rPr>
        <w:t>通过定期与不定期、全面与专项、明察与暗访相结合方式，对发现问题列出清单、挂帐整改，</w:t>
      </w:r>
      <w:r>
        <w:rPr>
          <w:rFonts w:hint="eastAsia" w:ascii="仿宋_GB2312" w:hAnsi="仿宋_GB2312" w:eastAsia="仿宋_GB2312" w:cs="仿宋_GB2312"/>
          <w:snapToGrid w:val="0"/>
          <w:color w:val="auto"/>
          <w:sz w:val="32"/>
          <w:szCs w:val="32"/>
          <w:highlight w:val="none"/>
          <w:lang w:val="en-US" w:eastAsia="zh-CN"/>
        </w:rPr>
        <w:t>以“任务”促“改革”、求实效，真正</w:t>
      </w:r>
      <w:r>
        <w:rPr>
          <w:rFonts w:hint="default" w:ascii="仿宋_GB2312" w:hAnsi="仿宋_GB2312" w:eastAsia="仿宋_GB2312" w:cs="仿宋_GB2312"/>
          <w:snapToGrid w:val="0"/>
          <w:color w:val="auto"/>
          <w:sz w:val="32"/>
          <w:szCs w:val="32"/>
          <w:highlight w:val="none"/>
          <w:lang w:val="en-US" w:eastAsia="zh-CN"/>
        </w:rPr>
        <w:t>形成</w:t>
      </w:r>
      <w:r>
        <w:rPr>
          <w:rFonts w:hint="eastAsia" w:ascii="仿宋_GB2312" w:hAnsi="仿宋_GB2312" w:eastAsia="仿宋_GB2312" w:cs="仿宋_GB2312"/>
          <w:snapToGrid w:val="0"/>
          <w:color w:val="auto"/>
          <w:sz w:val="32"/>
          <w:szCs w:val="32"/>
          <w:highlight w:val="none"/>
          <w:lang w:val="en-US" w:eastAsia="zh-CN"/>
        </w:rPr>
        <w:t>服务、责任、管理共同体，有力</w:t>
      </w:r>
      <w:r>
        <w:rPr>
          <w:rFonts w:hint="eastAsia" w:ascii="仿宋_GB2312" w:hAnsi="仿宋_GB2312" w:eastAsia="仿宋_GB2312" w:cs="仿宋_GB2312"/>
          <w:snapToGrid w:val="0"/>
          <w:color w:val="auto"/>
          <w:sz w:val="32"/>
          <w:szCs w:val="32"/>
          <w:highlight w:val="none"/>
        </w:rPr>
        <w:t>促进医共体从物理整合走向化学融合</w:t>
      </w:r>
      <w:r>
        <w:rPr>
          <w:rFonts w:hint="eastAsia" w:ascii="仿宋_GB2312" w:hAnsi="仿宋_GB2312" w:eastAsia="仿宋_GB2312" w:cs="仿宋_GB2312"/>
          <w:snapToGrid w:val="0"/>
          <w:color w:val="auto"/>
          <w:sz w:val="32"/>
          <w:szCs w:val="32"/>
          <w:highlight w:val="none"/>
          <w:lang w:eastAsia="zh-CN"/>
        </w:rPr>
        <w:t>，</w:t>
      </w:r>
      <w:r>
        <w:rPr>
          <w:rFonts w:hint="eastAsia" w:ascii="仿宋_GB2312" w:hAnsi="仿宋_GB2312" w:eastAsia="仿宋_GB2312" w:cs="仿宋_GB2312"/>
          <w:snapToGrid w:val="0"/>
          <w:color w:val="auto"/>
          <w:sz w:val="32"/>
          <w:szCs w:val="32"/>
          <w:highlight w:val="none"/>
        </w:rPr>
        <w:t>推动医疗服务由传统的资源消耗型向资源节约型转变</w:t>
      </w:r>
      <w:r>
        <w:rPr>
          <w:rFonts w:hint="eastAsia" w:ascii="仿宋_GB2312" w:hAnsi="仿宋_GB2312" w:eastAsia="仿宋_GB2312" w:cs="仿宋_GB2312"/>
          <w:snapToGrid w:val="0"/>
          <w:color w:val="auto"/>
          <w:sz w:val="32"/>
          <w:szCs w:val="32"/>
          <w:highlight w:val="none"/>
          <w:lang w:eastAsia="zh-CN"/>
        </w:rPr>
        <w:t>。</w:t>
      </w:r>
      <w:r>
        <w:rPr>
          <w:rFonts w:ascii="仿宋_GB2312" w:hAnsi="仿宋_GB2312" w:eastAsia="仿宋_GB2312" w:cs="仿宋_GB2312"/>
          <w:color w:val="auto"/>
          <w:kern w:val="0"/>
          <w:sz w:val="32"/>
          <w:szCs w:val="32"/>
          <w:highlight w:val="none"/>
          <w:lang w:val="zh-CN"/>
        </w:rPr>
        <w:t>加强典型引路，</w:t>
      </w:r>
      <w:r>
        <w:rPr>
          <w:rFonts w:hint="eastAsia" w:ascii="仿宋_GB2312" w:hAnsi="仿宋_GB2312" w:eastAsia="仿宋_GB2312" w:cs="仿宋_GB2312"/>
          <w:color w:val="auto"/>
          <w:kern w:val="0"/>
          <w:sz w:val="32"/>
          <w:szCs w:val="32"/>
          <w:highlight w:val="none"/>
          <w:lang w:val="zh-CN"/>
        </w:rPr>
        <w:t>及时</w:t>
      </w:r>
      <w:r>
        <w:rPr>
          <w:rFonts w:ascii="仿宋_GB2312" w:hAnsi="仿宋_GB2312" w:eastAsia="仿宋_GB2312" w:cs="仿宋_GB2312"/>
          <w:color w:val="auto"/>
          <w:kern w:val="0"/>
          <w:sz w:val="32"/>
          <w:szCs w:val="32"/>
          <w:highlight w:val="none"/>
          <w:lang w:val="zh-CN"/>
        </w:rPr>
        <w:t>总结推广各地的好经验、好做法，加快形成在全省具有重大影响力的示范样板</w:t>
      </w:r>
      <w:r>
        <w:rPr>
          <w:rFonts w:hint="eastAsia" w:ascii="仿宋_GB2312" w:hAnsi="仿宋_GB2312" w:eastAsia="仿宋_GB2312" w:cs="仿宋_GB2312"/>
          <w:color w:val="auto"/>
          <w:kern w:val="0"/>
          <w:sz w:val="32"/>
          <w:szCs w:val="32"/>
          <w:highlight w:val="none"/>
          <w:lang w:val="zh-CN"/>
        </w:rPr>
        <w:t>。</w:t>
      </w:r>
    </w:p>
    <w:p>
      <w:pPr>
        <w:keepNext w:val="0"/>
        <w:keepLines w:val="0"/>
        <w:pageBreakBefore w:val="0"/>
        <w:kinsoku/>
        <w:wordWrap/>
        <w:overflowPunct/>
        <w:topLinePunct w:val="0"/>
        <w:autoSpaceDE/>
        <w:autoSpaceDN/>
        <w:bidi w:val="0"/>
        <w:adjustRightInd/>
        <w:snapToGrid w:val="0"/>
        <w:spacing w:line="560" w:lineRule="exact"/>
        <w:ind w:firstLine="664" w:firstLineChars="200"/>
        <w:textAlignment w:val="auto"/>
        <w:rPr>
          <w:rFonts w:hint="eastAsia" w:eastAsia="仿宋_GB2312"/>
          <w:spacing w:val="6"/>
          <w:sz w:val="32"/>
          <w:szCs w:val="32"/>
          <w:highlight w:val="none"/>
        </w:rPr>
      </w:pPr>
      <w:r>
        <w:rPr>
          <w:rFonts w:hint="eastAsia" w:eastAsia="仿宋_GB2312"/>
          <w:spacing w:val="6"/>
          <w:sz w:val="32"/>
          <w:szCs w:val="32"/>
          <w:highlight w:val="none"/>
        </w:rPr>
        <w:t>感谢</w:t>
      </w:r>
      <w:r>
        <w:rPr>
          <w:rFonts w:hint="eastAsia" w:eastAsia="仿宋_GB2312"/>
          <w:spacing w:val="6"/>
          <w:sz w:val="32"/>
          <w:szCs w:val="32"/>
          <w:highlight w:val="none"/>
          <w:lang w:eastAsia="zh-CN"/>
        </w:rPr>
        <w:t>贵单位</w:t>
      </w:r>
      <w:r>
        <w:rPr>
          <w:rFonts w:hint="eastAsia" w:eastAsia="仿宋_GB2312"/>
          <w:spacing w:val="6"/>
          <w:sz w:val="32"/>
          <w:szCs w:val="32"/>
          <w:highlight w:val="none"/>
        </w:rPr>
        <w:t>对卫生健康事业的关心和支持。</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pStyle w:val="2"/>
        <w:ind w:left="0" w:leftChars="0" w:firstLine="0" w:firstLineChars="0"/>
        <w:rPr>
          <w:rFonts w:hint="eastAsia"/>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4800" w:firstLineChars="15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嘉兴市卫生健康委员会</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560" w:lineRule="exact"/>
        <w:ind w:left="0" w:firstLine="640" w:firstLineChars="200"/>
        <w:jc w:val="center"/>
        <w:textAlignment w:val="auto"/>
        <w:rPr>
          <w:rFonts w:hint="eastAsia" w:ascii="仿宋_GB2312" w:hAnsi="仿宋_GB2312" w:eastAsia="仿宋_GB2312" w:cs="仿宋_GB2312"/>
          <w:color w:val="000000" w:themeColor="text1"/>
          <w:sz w:val="32"/>
          <w:szCs w:val="32"/>
          <w:highlight w:val="none"/>
          <w:shd w:val="clear" w:fill="auto"/>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2"/>
          <w:sz w:val="32"/>
          <w:szCs w:val="32"/>
          <w:highlight w:val="none"/>
          <w:shd w:val="clear" w:fill="auto"/>
          <w:lang w:val="en-US" w:eastAsia="zh-CN"/>
          <w14:textFill>
            <w14:solidFill>
              <w14:schemeClr w14:val="tx1"/>
            </w14:solidFill>
          </w14:textFill>
        </w:rPr>
        <w:t xml:space="preserve">                         2021年9月6日</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highlight w:val="none"/>
          <w:lang w:val="en-US" w:eastAsia="zh-CN"/>
        </w:rPr>
      </w:pPr>
    </w:p>
    <w:p>
      <w:pPr>
        <w:keepNext w:val="0"/>
        <w:keepLines w:val="0"/>
        <w:pageBreakBefore w:val="0"/>
        <w:widowControl w:val="0"/>
        <w:suppressLineNumbers w:val="0"/>
        <w:kinsoku/>
        <w:wordWrap w:val="0"/>
        <w:overflowPunct/>
        <w:topLinePunct w:val="0"/>
        <w:autoSpaceDE/>
        <w:autoSpaceDN/>
        <w:bidi w:val="0"/>
        <w:adjustRightInd/>
        <w:snapToGrid/>
        <w:spacing w:line="600" w:lineRule="exact"/>
        <w:ind w:firstLine="640" w:firstLineChars="200"/>
        <w:jc w:val="both"/>
        <w:textAlignment w:val="center"/>
        <w:rPr>
          <w:rFonts w:hint="eastAsia" w:ascii="仿宋_GB2312" w:hAnsi="仿宋_GB2312" w:eastAsia="仿宋_GB2312" w:cs="仿宋_GB2312"/>
          <w:i w:val="0"/>
          <w:color w:val="000000"/>
          <w:kern w:val="0"/>
          <w:sz w:val="32"/>
          <w:szCs w:val="32"/>
          <w:highlight w:val="none"/>
          <w:u w:val="none"/>
          <w:lang w:val="en-US" w:eastAsia="zh-CN" w:bidi="ar"/>
        </w:rPr>
      </w:pPr>
      <w:r>
        <w:rPr>
          <w:rFonts w:hint="eastAsia" w:ascii="仿宋_GB2312" w:eastAsia="仿宋_GB2312"/>
          <w:sz w:val="32"/>
          <w:szCs w:val="32"/>
          <w:highlight w:val="none"/>
          <w:lang w:eastAsia="zh-CN"/>
        </w:rPr>
        <w:t>（联系人：</w:t>
      </w:r>
      <w:r>
        <w:rPr>
          <w:rFonts w:hint="eastAsia" w:ascii="仿宋_GB2312" w:eastAsia="仿宋_GB2312"/>
          <w:sz w:val="32"/>
          <w:szCs w:val="32"/>
          <w:highlight w:val="none"/>
          <w:lang w:val="en-US" w:eastAsia="zh-CN"/>
        </w:rPr>
        <w:t>陆李萍；</w:t>
      </w:r>
      <w:r>
        <w:rPr>
          <w:rFonts w:hint="eastAsia" w:ascii="仿宋_GB2312" w:eastAsia="仿宋_GB2312"/>
          <w:sz w:val="32"/>
          <w:szCs w:val="32"/>
          <w:highlight w:val="none"/>
          <w:lang w:eastAsia="zh-CN"/>
        </w:rPr>
        <w:t xml:space="preserve"> 联系电话：</w:t>
      </w:r>
      <w:r>
        <w:rPr>
          <w:rFonts w:hint="eastAsia" w:ascii="仿宋_GB2312" w:eastAsia="仿宋_GB2312"/>
          <w:sz w:val="32"/>
          <w:szCs w:val="32"/>
          <w:highlight w:val="none"/>
          <w:lang w:val="en-US" w:eastAsia="zh-CN"/>
        </w:rPr>
        <w:t>83687617</w:t>
      </w:r>
      <w:r>
        <w:rPr>
          <w:rFonts w:hint="eastAsia" w:ascii="仿宋_GB2312" w:eastAsia="仿宋_GB2312"/>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p>
    <w:p>
      <w:pPr>
        <w:pStyle w:val="2"/>
        <w:rPr>
          <w:rFonts w:hint="eastAsia" w:ascii="仿宋_GB2312" w:hAnsi="仿宋_GB2312" w:eastAsia="仿宋_GB2312" w:cs="仿宋_GB2312"/>
          <w:color w:val="auto"/>
          <w:kern w:val="0"/>
          <w:sz w:val="32"/>
          <w:szCs w:val="32"/>
          <w:highlight w:val="none"/>
          <w:lang w:val="en-US" w:eastAsia="zh-CN"/>
        </w:rPr>
      </w:pPr>
    </w:p>
    <w:p>
      <w:pPr>
        <w:rPr>
          <w:rFonts w:eastAsia="仿宋_GB2312"/>
          <w:color w:val="0000FF"/>
          <w:sz w:val="32"/>
          <w:szCs w:val="32"/>
        </w:rPr>
      </w:pPr>
      <w:r>
        <w:rPr>
          <w:rFonts w:eastAsia="仿宋_GB2312"/>
          <w:color w:val="0000FF"/>
          <w:sz w:val="32"/>
          <w:szCs w:val="32"/>
        </w:rPr>
        <w:br w:type="page"/>
      </w:r>
    </w:p>
    <w:p>
      <w:pPr>
        <w:pStyle w:val="2"/>
      </w:pPr>
    </w:p>
    <w:p>
      <w:pPr>
        <w:spacing w:line="520" w:lineRule="exact"/>
        <w:ind w:firstLine="640" w:firstLineChars="200"/>
        <w:rPr>
          <w:rFonts w:eastAsia="仿宋_GB2312"/>
          <w:color w:val="0000FF"/>
          <w:sz w:val="32"/>
          <w:szCs w:val="32"/>
        </w:rPr>
      </w:pPr>
      <w:r>
        <w:rPr>
          <w:rFonts w:eastAsia="仿宋_GB2312"/>
          <w:color w:val="0000FF"/>
          <w:sz w:val="32"/>
          <w:szCs w:val="32"/>
        </w:rPr>
        <w:t xml:space="preserve">   </w:t>
      </w:r>
    </w:p>
    <w:p>
      <w:pPr>
        <w:pStyle w:val="2"/>
        <w:rPr>
          <w:rFonts w:eastAsia="仿宋_GB2312"/>
          <w:color w:val="0000FF"/>
          <w:sz w:val="32"/>
          <w:szCs w:val="32"/>
        </w:rPr>
      </w:pPr>
    </w:p>
    <w:p>
      <w:pPr>
        <w:pStyle w:val="2"/>
        <w:rPr>
          <w:rFonts w:eastAsia="仿宋_GB2312"/>
          <w:color w:val="0000FF"/>
          <w:sz w:val="32"/>
          <w:szCs w:val="32"/>
        </w:rPr>
      </w:pPr>
    </w:p>
    <w:p>
      <w:pPr>
        <w:pStyle w:val="2"/>
        <w:rPr>
          <w:rFonts w:eastAsia="仿宋_GB2312"/>
          <w:color w:val="0000FF"/>
          <w:sz w:val="32"/>
          <w:szCs w:val="32"/>
        </w:rPr>
      </w:pPr>
    </w:p>
    <w:p>
      <w:pPr>
        <w:pStyle w:val="2"/>
        <w:rPr>
          <w:rFonts w:eastAsia="仿宋_GB2312"/>
          <w:color w:val="0000FF"/>
          <w:sz w:val="32"/>
          <w:szCs w:val="32"/>
        </w:rPr>
      </w:pPr>
    </w:p>
    <w:p>
      <w:pPr>
        <w:pStyle w:val="2"/>
        <w:rPr>
          <w:rFonts w:eastAsia="仿宋_GB2312"/>
          <w:color w:val="0000FF"/>
          <w:sz w:val="32"/>
          <w:szCs w:val="32"/>
        </w:rPr>
      </w:pPr>
    </w:p>
    <w:p>
      <w:pPr>
        <w:pStyle w:val="2"/>
        <w:rPr>
          <w:rFonts w:eastAsia="仿宋_GB2312"/>
          <w:color w:val="0000FF"/>
          <w:sz w:val="32"/>
          <w:szCs w:val="32"/>
        </w:rPr>
      </w:pPr>
    </w:p>
    <w:p>
      <w:pPr>
        <w:pStyle w:val="2"/>
        <w:rPr>
          <w:rFonts w:eastAsia="仿宋_GB2312"/>
          <w:color w:val="0000FF"/>
          <w:sz w:val="32"/>
          <w:szCs w:val="32"/>
        </w:rPr>
      </w:pPr>
    </w:p>
    <w:p>
      <w:pPr>
        <w:pStyle w:val="2"/>
        <w:rPr>
          <w:rFonts w:eastAsia="仿宋_GB2312"/>
          <w:color w:val="0000FF"/>
          <w:sz w:val="32"/>
          <w:szCs w:val="32"/>
        </w:rPr>
      </w:pPr>
    </w:p>
    <w:p>
      <w:pPr>
        <w:pStyle w:val="2"/>
        <w:rPr>
          <w:rFonts w:eastAsia="仿宋_GB2312"/>
          <w:color w:val="0000FF"/>
          <w:sz w:val="32"/>
          <w:szCs w:val="32"/>
        </w:rPr>
      </w:pPr>
    </w:p>
    <w:p>
      <w:pPr>
        <w:pStyle w:val="2"/>
        <w:rPr>
          <w:rFonts w:eastAsia="仿宋_GB2312"/>
          <w:color w:val="0000FF"/>
          <w:sz w:val="32"/>
          <w:szCs w:val="32"/>
        </w:rPr>
      </w:pPr>
    </w:p>
    <w:p>
      <w:pPr>
        <w:pStyle w:val="2"/>
        <w:rPr>
          <w:rFonts w:eastAsia="仿宋_GB2312"/>
          <w:color w:val="0000FF"/>
          <w:sz w:val="32"/>
          <w:szCs w:val="32"/>
        </w:rPr>
      </w:pPr>
    </w:p>
    <w:p>
      <w:pPr>
        <w:pStyle w:val="2"/>
        <w:rPr>
          <w:rFonts w:eastAsia="仿宋_GB2312"/>
          <w:color w:val="0000FF"/>
          <w:sz w:val="32"/>
          <w:szCs w:val="32"/>
        </w:rPr>
      </w:pPr>
    </w:p>
    <w:p>
      <w:pPr>
        <w:pStyle w:val="2"/>
        <w:rPr>
          <w:rFonts w:eastAsia="仿宋_GB2312"/>
          <w:color w:val="0000FF"/>
          <w:sz w:val="32"/>
          <w:szCs w:val="32"/>
        </w:rPr>
      </w:pPr>
    </w:p>
    <w:p>
      <w:pPr>
        <w:pStyle w:val="2"/>
        <w:rPr>
          <w:rFonts w:eastAsia="仿宋_GB2312"/>
          <w:color w:val="0000FF"/>
          <w:sz w:val="32"/>
          <w:szCs w:val="32"/>
        </w:rPr>
      </w:pPr>
    </w:p>
    <w:p>
      <w:pPr>
        <w:pStyle w:val="2"/>
        <w:rPr>
          <w:rFonts w:eastAsia="仿宋_GB2312"/>
          <w:color w:val="0000FF"/>
          <w:sz w:val="32"/>
          <w:szCs w:val="32"/>
        </w:rPr>
      </w:pPr>
    </w:p>
    <w:p>
      <w:pPr>
        <w:pStyle w:val="2"/>
        <w:rPr>
          <w:rFonts w:eastAsia="仿宋_GB2312"/>
          <w:color w:val="0000FF"/>
          <w:sz w:val="32"/>
          <w:szCs w:val="32"/>
        </w:rPr>
      </w:pPr>
    </w:p>
    <w:p>
      <w:pPr>
        <w:spacing w:line="580" w:lineRule="exact"/>
        <w:rPr>
          <w:rFonts w:hint="eastAsia" w:eastAsia="仿宋_GB2312"/>
          <w:spacing w:val="6"/>
          <w:sz w:val="30"/>
        </w:rPr>
      </w:pPr>
    </w:p>
    <w:p>
      <w:pPr>
        <w:pBdr>
          <w:bottom w:val="single" w:color="auto" w:sz="12" w:space="0"/>
        </w:pBdr>
        <w:spacing w:line="520" w:lineRule="exact"/>
        <w:ind w:left="840" w:hanging="840" w:hangingChars="300"/>
        <w:rPr>
          <w:rFonts w:ascii="仿宋_GB2312" w:eastAsia="仿宋_GB2312"/>
          <w:color w:val="000000"/>
          <w:spacing w:val="-10"/>
          <w:sz w:val="28"/>
          <w:szCs w:val="28"/>
        </w:rPr>
      </w:pPr>
      <w:r>
        <w:rPr>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57212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721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05pt;width:438.75pt;z-index:251661312;mso-width-relative:page;mso-height-relative:page;" filled="f" stroked="t" coordsize="21600,21600" o:gfxdata="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6HaT20gAAAAIBAAAPAAAAAAAAAAEAIAAAACIAAABkcnMvZG93bnJldi54bWxQSwECFAAUAAAA&#10;CACHTuJA4Xl3GPQBAADmAwAADgAAAAAAAAABACAAAAAhAQAAZHJzL2Uyb0RvYy54bWxQSwUGAAAA&#10;AAYABgBZAQAAhwUAAAAA&#10;">
                <v:fill on="f" focussize="0,0"/>
                <v:stroke color="#000000" joinstyle="round"/>
                <v:imagedata o:title=""/>
                <o:lock v:ext="edit" aspectratio="f"/>
              </v:line>
            </w:pict>
          </mc:Fallback>
        </mc:AlternateContent>
      </w:r>
      <w:r>
        <w:rPr>
          <w:rFonts w:hint="eastAsia" w:ascii="仿宋_GB2312" w:eastAsia="仿宋_GB2312"/>
          <w:color w:val="000000"/>
          <w:sz w:val="28"/>
          <w:szCs w:val="28"/>
        </w:rPr>
        <w:t>抄送：</w:t>
      </w:r>
      <w:r>
        <w:rPr>
          <w:rFonts w:hint="eastAsia" w:ascii="仿宋_GB2312" w:eastAsia="仿宋_GB2312"/>
          <w:color w:val="000000"/>
          <w:spacing w:val="-10"/>
          <w:sz w:val="28"/>
          <w:szCs w:val="28"/>
        </w:rPr>
        <w:t>市委办公室、市政府办公室</w:t>
      </w:r>
      <w:r>
        <w:rPr>
          <w:rFonts w:hint="eastAsia" w:ascii="仿宋_GB2312" w:eastAsia="仿宋_GB2312"/>
          <w:color w:val="000000"/>
          <w:sz w:val="28"/>
          <w:szCs w:val="28"/>
          <w:lang w:eastAsia="zh-CN"/>
        </w:rPr>
        <w:t>、</w:t>
      </w:r>
      <w:r>
        <w:rPr>
          <w:rFonts w:hint="eastAsia" w:ascii="仿宋_GB2312" w:eastAsia="仿宋_GB2312"/>
          <w:color w:val="000000"/>
          <w:sz w:val="28"/>
          <w:szCs w:val="28"/>
        </w:rPr>
        <w:t>市政协办公室</w:t>
      </w:r>
      <w:r>
        <w:rPr>
          <w:rFonts w:hint="eastAsia" w:ascii="仿宋_GB2312" w:eastAsia="仿宋_GB2312"/>
          <w:color w:val="000000"/>
          <w:sz w:val="28"/>
          <w:szCs w:val="28"/>
          <w:lang w:val="en-US" w:eastAsia="zh-CN"/>
        </w:rPr>
        <w:t>、市财政局</w:t>
      </w:r>
    </w:p>
    <w:p>
      <w:pPr>
        <w:pBdr>
          <w:bottom w:val="single" w:color="auto" w:sz="12" w:space="0"/>
        </w:pBdr>
        <w:spacing w:line="520" w:lineRule="exact"/>
        <w:rPr>
          <w:rFonts w:hint="eastAsia" w:eastAsia="仿宋_GB2312"/>
          <w:color w:val="0000FF"/>
          <w:sz w:val="32"/>
          <w:szCs w:val="32"/>
          <w:lang w:val="en-US" w:eastAsia="zh-CN"/>
        </w:rPr>
      </w:pPr>
      <w:r>
        <w:rPr>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32385</wp:posOffset>
                </wp:positionV>
                <wp:extent cx="5562600" cy="889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562600"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75pt;margin-top:2.55pt;height:0.7pt;width:438pt;z-index:251660288;mso-width-relative:page;mso-height-relative:page;" filled="f" stroked="t" coordsize="21600,21600" o:gfxdata="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JHOaQ1AAAAAYBAAAPAAAAAAAAAAEAIAAAACIAAABkcnMvZG93bnJl&#10;di54bWxQSwECFAAUAAAACACHTuJAdHCn+AECAADxAwAADgAAAAAAAAABACAAAAAjAQAAZHJzL2Uy&#10;b0RvYy54bWxQSwUGAAAAAAYABgBZAQAAlgUAAAAA&#10;">
                <v:fill on="f" focussize="0,0"/>
                <v:stroke color="#000000" joinstyle="round"/>
                <v:imagedata o:title=""/>
                <o:lock v:ext="edit" aspectratio="f"/>
              </v:line>
            </w:pict>
          </mc:Fallback>
        </mc:AlternateContent>
      </w:r>
      <w:r>
        <w:rPr>
          <w:rFonts w:hint="eastAsia" w:ascii="仿宋_GB2312" w:eastAsia="仿宋_GB2312"/>
          <w:color w:val="000000"/>
          <w:sz w:val="28"/>
          <w:szCs w:val="28"/>
        </w:rPr>
        <w:t>嘉兴市卫生健康委员会办公室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2021年</w:t>
      </w:r>
      <w:r>
        <w:rPr>
          <w:rFonts w:hint="eastAsia" w:ascii="仿宋_GB2312" w:eastAsia="仿宋_GB2312"/>
          <w:color w:val="000000"/>
          <w:sz w:val="28"/>
          <w:szCs w:val="28"/>
          <w:lang w:val="en-US" w:eastAsia="zh-CN"/>
        </w:rPr>
        <w:t>9</w:t>
      </w:r>
      <w:r>
        <w:rPr>
          <w:rFonts w:hint="eastAsia" w:ascii="仿宋_GB2312" w:eastAsia="仿宋_GB2312"/>
          <w:color w:val="000000"/>
          <w:sz w:val="28"/>
          <w:szCs w:val="28"/>
        </w:rPr>
        <w:t>月6日印发</w:t>
      </w:r>
    </w:p>
    <w:p>
      <w:pPr>
        <w:pStyle w:val="2"/>
        <w:ind w:left="0" w:leftChars="0" w:firstLine="0" w:firstLineChars="0"/>
        <w:rPr>
          <w:rFonts w:hint="eastAsia"/>
          <w:lang w:val="en-US" w:eastAsia="zh-CN"/>
        </w:rPr>
      </w:pPr>
    </w:p>
    <w:sectPr>
      <w:footerReference r:id="rId3" w:type="default"/>
      <w:pgSz w:w="11906" w:h="16838"/>
      <w:pgMar w:top="2041" w:right="1587" w:bottom="204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550B19"/>
    <w:rsid w:val="000D014A"/>
    <w:rsid w:val="006676CB"/>
    <w:rsid w:val="007865CF"/>
    <w:rsid w:val="00956100"/>
    <w:rsid w:val="00C059C7"/>
    <w:rsid w:val="00E36898"/>
    <w:rsid w:val="016950E4"/>
    <w:rsid w:val="02CF559C"/>
    <w:rsid w:val="08242E01"/>
    <w:rsid w:val="088A71D8"/>
    <w:rsid w:val="089F6B18"/>
    <w:rsid w:val="08F51FF5"/>
    <w:rsid w:val="09434317"/>
    <w:rsid w:val="0AA3348E"/>
    <w:rsid w:val="0BAD6A61"/>
    <w:rsid w:val="0D770100"/>
    <w:rsid w:val="0F0E3ADD"/>
    <w:rsid w:val="10084C7A"/>
    <w:rsid w:val="118D4C33"/>
    <w:rsid w:val="11BC4DAA"/>
    <w:rsid w:val="13296AE7"/>
    <w:rsid w:val="1773523F"/>
    <w:rsid w:val="19CF5CCB"/>
    <w:rsid w:val="1A37468B"/>
    <w:rsid w:val="1A914135"/>
    <w:rsid w:val="1EB8448E"/>
    <w:rsid w:val="1F1C1524"/>
    <w:rsid w:val="1F845096"/>
    <w:rsid w:val="201859E9"/>
    <w:rsid w:val="20305BE5"/>
    <w:rsid w:val="244C09EF"/>
    <w:rsid w:val="26B253E3"/>
    <w:rsid w:val="26ED5B90"/>
    <w:rsid w:val="292028C7"/>
    <w:rsid w:val="29D0504C"/>
    <w:rsid w:val="2A72126A"/>
    <w:rsid w:val="2AEE42C6"/>
    <w:rsid w:val="2B2C2E44"/>
    <w:rsid w:val="2B4D10BF"/>
    <w:rsid w:val="2CE23E10"/>
    <w:rsid w:val="2DC70673"/>
    <w:rsid w:val="2E773444"/>
    <w:rsid w:val="2F0A621A"/>
    <w:rsid w:val="2F7E60C0"/>
    <w:rsid w:val="2FDB005F"/>
    <w:rsid w:val="33EE29FB"/>
    <w:rsid w:val="342014AA"/>
    <w:rsid w:val="36C78A79"/>
    <w:rsid w:val="372F2164"/>
    <w:rsid w:val="37DF2D86"/>
    <w:rsid w:val="385A488D"/>
    <w:rsid w:val="3B427C37"/>
    <w:rsid w:val="3BDE1B07"/>
    <w:rsid w:val="3CEFA5D7"/>
    <w:rsid w:val="3EDC668C"/>
    <w:rsid w:val="3FFA1754"/>
    <w:rsid w:val="3FFD0759"/>
    <w:rsid w:val="3FFD3DF4"/>
    <w:rsid w:val="423B4226"/>
    <w:rsid w:val="463A56E0"/>
    <w:rsid w:val="475F0461"/>
    <w:rsid w:val="4AEB7B2A"/>
    <w:rsid w:val="4AF458DD"/>
    <w:rsid w:val="4BF35C4F"/>
    <w:rsid w:val="4D821720"/>
    <w:rsid w:val="4E4B3D98"/>
    <w:rsid w:val="509875CA"/>
    <w:rsid w:val="50E81C5A"/>
    <w:rsid w:val="51BF0200"/>
    <w:rsid w:val="51C91110"/>
    <w:rsid w:val="531C75F9"/>
    <w:rsid w:val="53550B19"/>
    <w:rsid w:val="56636C20"/>
    <w:rsid w:val="57A14476"/>
    <w:rsid w:val="5995653F"/>
    <w:rsid w:val="59DA78D1"/>
    <w:rsid w:val="5B015D4E"/>
    <w:rsid w:val="5B2D3B87"/>
    <w:rsid w:val="5BE672D4"/>
    <w:rsid w:val="5BEF5305"/>
    <w:rsid w:val="5CB07D3F"/>
    <w:rsid w:val="5D1777F4"/>
    <w:rsid w:val="5D5EA699"/>
    <w:rsid w:val="5DFFA7ED"/>
    <w:rsid w:val="62AD187B"/>
    <w:rsid w:val="66FA3B9A"/>
    <w:rsid w:val="68DFEA57"/>
    <w:rsid w:val="69CB67EB"/>
    <w:rsid w:val="6C4C6D0C"/>
    <w:rsid w:val="6C76E0B3"/>
    <w:rsid w:val="6CEC03D8"/>
    <w:rsid w:val="6D3FF288"/>
    <w:rsid w:val="6F70238A"/>
    <w:rsid w:val="6FE85A64"/>
    <w:rsid w:val="726C6E33"/>
    <w:rsid w:val="742C37B0"/>
    <w:rsid w:val="743C674E"/>
    <w:rsid w:val="77F93772"/>
    <w:rsid w:val="7A3FCB7A"/>
    <w:rsid w:val="7BBD2E28"/>
    <w:rsid w:val="7C6B6AB1"/>
    <w:rsid w:val="7DBF138C"/>
    <w:rsid w:val="7EFB2A57"/>
    <w:rsid w:val="7F123DBF"/>
    <w:rsid w:val="7F7BC899"/>
    <w:rsid w:val="7FBE7CE8"/>
    <w:rsid w:val="7FCE291A"/>
    <w:rsid w:val="7FCFDBA2"/>
    <w:rsid w:val="7FEA51C9"/>
    <w:rsid w:val="7FF561A8"/>
    <w:rsid w:val="87E5C123"/>
    <w:rsid w:val="98F27F90"/>
    <w:rsid w:val="9CF92D23"/>
    <w:rsid w:val="9EF62BF7"/>
    <w:rsid w:val="A3AFC3FE"/>
    <w:rsid w:val="A559C9EC"/>
    <w:rsid w:val="ADFEDE18"/>
    <w:rsid w:val="BD655BA6"/>
    <w:rsid w:val="BD7F1B72"/>
    <w:rsid w:val="BDFCCDAD"/>
    <w:rsid w:val="BFEB568D"/>
    <w:rsid w:val="BFF6FE60"/>
    <w:rsid w:val="BFFC2189"/>
    <w:rsid w:val="C7FBBF61"/>
    <w:rsid w:val="CF4A26B0"/>
    <w:rsid w:val="DAFF8147"/>
    <w:rsid w:val="DCFB73C6"/>
    <w:rsid w:val="DFF3E610"/>
    <w:rsid w:val="EED6131F"/>
    <w:rsid w:val="EFAD9259"/>
    <w:rsid w:val="EFDB2D56"/>
    <w:rsid w:val="F1B9E9DF"/>
    <w:rsid w:val="F5FE9257"/>
    <w:rsid w:val="F7FF3479"/>
    <w:rsid w:val="FB7EA483"/>
    <w:rsid w:val="FBF76FD0"/>
    <w:rsid w:val="FBFA1A75"/>
    <w:rsid w:val="FBFF1CB4"/>
    <w:rsid w:val="FC7896B7"/>
    <w:rsid w:val="FDBFF1A6"/>
    <w:rsid w:val="FDD79876"/>
    <w:rsid w:val="FDFB603A"/>
    <w:rsid w:val="FE9E05C9"/>
    <w:rsid w:val="FEAF1AE5"/>
    <w:rsid w:val="FEBEE923"/>
    <w:rsid w:val="FEDFBAA8"/>
    <w:rsid w:val="FEF73F06"/>
    <w:rsid w:val="FEF9D38A"/>
    <w:rsid w:val="FF598B87"/>
    <w:rsid w:val="FF7C3934"/>
    <w:rsid w:val="FFD52C0A"/>
    <w:rsid w:val="FFFBF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Body Text"/>
    <w:basedOn w:val="1"/>
    <w:qFormat/>
    <w:uiPriority w:val="0"/>
    <w:pPr>
      <w:spacing w:before="100" w:beforeAutospacing="1"/>
    </w:pPr>
    <w:rPr>
      <w:rFonts w:cs="黑体"/>
    </w:rPr>
  </w:style>
  <w:style w:type="paragraph" w:styleId="6">
    <w:name w:val="Body Text Indent 2"/>
    <w:basedOn w:val="1"/>
    <w:next w:val="7"/>
    <w:qFormat/>
    <w:uiPriority w:val="0"/>
    <w:pPr>
      <w:spacing w:after="120" w:line="480" w:lineRule="auto"/>
      <w:ind w:left="420" w:leftChars="200"/>
    </w:pPr>
    <w:rPr>
      <w:rFonts w:ascii="Calibri" w:hAnsi="Calibri" w:eastAsia="仿宋" w:cs="Times New Roman"/>
      <w:szCs w:val="24"/>
    </w:rPr>
  </w:style>
  <w:style w:type="paragraph" w:styleId="7">
    <w:name w:val="Body Text First Indent 2"/>
    <w:basedOn w:val="1"/>
    <w:next w:val="1"/>
    <w:qFormat/>
    <w:uiPriority w:val="0"/>
    <w:pPr>
      <w:ind w:firstLine="420" w:firstLineChars="200"/>
    </w:pPr>
    <w:rPr>
      <w:rFonts w:ascii="Calibri" w:hAnsi="Calibri" w:eastAsia="仿宋" w:cs="Times New Roman"/>
      <w:sz w:val="28"/>
      <w:szCs w:val="24"/>
    </w:r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page number"/>
    <w:basedOn w:val="12"/>
    <w:qFormat/>
    <w:uiPriority w:val="0"/>
  </w:style>
  <w:style w:type="paragraph" w:customStyle="1" w:styleId="14">
    <w:name w:val="Char"/>
    <w:basedOn w:val="1"/>
    <w:qFormat/>
    <w:uiPriority w:val="0"/>
    <w:pPr>
      <w:spacing w:line="360" w:lineRule="auto"/>
      <w:ind w:firstLine="200" w:firstLineChars="200"/>
    </w:pPr>
    <w:rPr>
      <w:rFonts w:ascii="宋体" w:hAnsi="宋体" w:eastAsia="楷体_GB2312" w:cs="宋体"/>
      <w:sz w:val="24"/>
    </w:rPr>
  </w:style>
  <w:style w:type="character" w:customStyle="1" w:styleId="15">
    <w:name w:val="页眉 Char"/>
    <w:basedOn w:val="12"/>
    <w:link w:val="9"/>
    <w:qFormat/>
    <w:uiPriority w:val="0"/>
    <w:rPr>
      <w:rFonts w:asciiTheme="minorHAnsi" w:hAnsiTheme="minorHAnsi" w:eastAsiaTheme="minorEastAsia" w:cstheme="minorBidi"/>
      <w:kern w:val="2"/>
      <w:sz w:val="18"/>
      <w:szCs w:val="18"/>
    </w:rPr>
  </w:style>
  <w:style w:type="character" w:customStyle="1" w:styleId="16">
    <w:name w:val="页脚 Char"/>
    <w:basedOn w:val="12"/>
    <w:link w:val="8"/>
    <w:qFormat/>
    <w:uiPriority w:val="0"/>
    <w:rPr>
      <w:rFonts w:asciiTheme="minorHAnsi" w:hAnsiTheme="minorHAnsi" w:eastAsiaTheme="minorEastAsia" w:cstheme="minorBidi"/>
      <w:kern w:val="2"/>
      <w:sz w:val="18"/>
      <w:szCs w:val="18"/>
    </w:rPr>
  </w:style>
  <w:style w:type="paragraph" w:customStyle="1" w:styleId="17">
    <w:name w:val="Default"/>
    <w:basedOn w:val="1"/>
    <w:qFormat/>
    <w:uiPriority w:val="0"/>
    <w:pPr>
      <w:autoSpaceDE w:val="0"/>
      <w:autoSpaceDN w:val="0"/>
      <w:adjustRightInd w:val="0"/>
      <w:jc w:val="left"/>
    </w:pPr>
    <w:rPr>
      <w:rFonts w:ascii="仿宋_GB2312" w:eastAsia="仿宋_GB2312" w:cs="宋体"/>
      <w:color w:val="000000"/>
      <w:kern w:val="0"/>
      <w:sz w:val="24"/>
    </w:rPr>
  </w:style>
  <w:style w:type="paragraph" w:styleId="18">
    <w:name w:val="List Paragraph"/>
    <w:basedOn w:val="1"/>
    <w:qFormat/>
    <w:uiPriority w:val="34"/>
    <w:pPr>
      <w:ind w:firstLine="420" w:firstLineChars="200"/>
    </w:pPr>
  </w:style>
  <w:style w:type="paragraph" w:customStyle="1" w:styleId="19">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828</Characters>
  <Lines>6</Lines>
  <Paragraphs>1</Paragraphs>
  <TotalTime>2</TotalTime>
  <ScaleCrop>false</ScaleCrop>
  <LinksUpToDate>false</LinksUpToDate>
  <CharactersWithSpaces>972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2020-07-10T23:24:00Z</dcterms:created>
  <dc:creator>大牛</dc:creator>
  <cp:lastModifiedBy>勿忘我1416614465</cp:lastModifiedBy>
  <cp:lastPrinted>2021-09-07T08:28:12Z</cp:lastPrinted>
  <dcterms:modified xsi:type="dcterms:W3CDTF">2021-09-07T08:28:49Z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340682C0699D4F8A8E3378FD8DB0534A</vt:lpwstr>
  </property>
</Properties>
</file>